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/>
          <w:sz w:val="44"/>
          <w:szCs w:val="4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赤峰市元宝山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区统计局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年统计执法监督检查工作计划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深入贯彻党中央、国务院关于防范和惩治统计造假、弄虚作假决策部署，进一步夯实统计机构的主体责任,按照上级统计部门和区委区政府对统计工作的要求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，结合本年度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统计法治工作重点任务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，制定202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赤峰市元宝山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区统计执法监督检查工作计划。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一、组织领导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统计执法监督检查工作由区统计局统一领导，统计执法监督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大队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组织实施，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各专业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室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协同配合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完成。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统计执法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检查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在下半年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进行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，统计执法检查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工作采取组长负责制。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黑体" w:cs="Times New Roman"/>
          <w:sz w:val="32"/>
          <w:szCs w:val="32"/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监督</w:t>
      </w:r>
      <w:r>
        <w:rPr>
          <w:rFonts w:hint="default" w:ascii="Times New Roman" w:hAnsi="Times New Roman" w:eastAsia="黑体" w:cs="Times New Roman"/>
          <w:sz w:val="32"/>
          <w:szCs w:val="32"/>
        </w:rPr>
        <w:t>检查方式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统计执法监督检查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采取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“双随机”检查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方式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与部门联合检查相结合。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按照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全区法治政府建设以及《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赤峰市元宝山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区市场监管领域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2024年度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部门联合“双随机、一公开”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抽查计划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》工作要求，全面落实统计执法检查“双随机”制度，与区市场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监督管理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局开展联合执法检查。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监督</w:t>
      </w:r>
      <w:r>
        <w:rPr>
          <w:rFonts w:hint="default" w:ascii="Times New Roman" w:hAnsi="Times New Roman" w:eastAsia="黑体" w:cs="Times New Roman"/>
          <w:sz w:val="32"/>
          <w:szCs w:val="32"/>
        </w:rPr>
        <w:t>检查内容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sz w:val="32"/>
          <w:szCs w:val="32"/>
        </w:rPr>
        <w:t>（一）</w:t>
      </w:r>
      <w:r>
        <w:rPr>
          <w:rFonts w:hint="default" w:ascii="Times New Roman" w:hAnsi="Times New Roman" w:eastAsia="楷体" w:cs="Times New Roman"/>
          <w:sz w:val="32"/>
          <w:szCs w:val="32"/>
          <w:lang w:eastAsia="zh-CN"/>
        </w:rPr>
        <w:t>统计调查单位的执法</w:t>
      </w:r>
      <w:r>
        <w:rPr>
          <w:rFonts w:hint="default" w:ascii="Times New Roman" w:hAnsi="Times New Roman" w:eastAsia="楷体" w:cs="Times New Roman"/>
          <w:sz w:val="32"/>
          <w:szCs w:val="32"/>
        </w:rPr>
        <w:t>检查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1.统计调查单位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入退库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真实性。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一是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检查入库真实性。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统计调查单位是否真实存在，是否符合入库标准，是否存在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入库资料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造假、弄虚作假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情况，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是否存在关停企业继续报数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二是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检查退库真实性。核实退库企业是否达到退库标准，在市场监管部门已注吊销的单位是否核实退库，是否通过非正常调减数据或瞒报数据以虚假退库等，固定资产投资项目不及时退库及报数企业与入库企业不一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2.统计数据的准确性。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企业报送的执法检查指标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数据来源是否有依据，是否严格执行统计制度规定，数据填报口径是否准确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是否有迟报、瞒报、漏报等现象。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3.统计数据的逻辑性。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调查单位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各主要统计指标是否符合逻辑关系，是否能够提供相关依据，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是否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做到不重不漏。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  <w:t>（二）统计</w:t>
      </w: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eastAsia="zh-CN"/>
        </w:rPr>
        <w:t>调查单位的</w:t>
      </w: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</w:rPr>
        <w:t>数据核查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1.对确定为执法检查指标以外的重点指标进行数据核查。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2.根据各专业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工作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需求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确定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相关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指标数据进行核查。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黑体" w:cs="Times New Roman"/>
          <w:sz w:val="32"/>
          <w:szCs w:val="32"/>
        </w:rPr>
        <w:t>、具体安排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本年度统计执法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监督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检查工作从202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月开始到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月结束。具体安排如下：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sz w:val="32"/>
          <w:szCs w:val="32"/>
        </w:rPr>
        <w:t>（</w:t>
      </w:r>
      <w:r>
        <w:rPr>
          <w:rFonts w:hint="default" w:ascii="Times New Roman" w:hAnsi="Times New Roman" w:eastAsia="楷体" w:cs="Times New Roman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楷体" w:cs="Times New Roman"/>
          <w:sz w:val="32"/>
          <w:szCs w:val="32"/>
        </w:rPr>
        <w:t>）</w:t>
      </w:r>
      <w:r>
        <w:rPr>
          <w:rFonts w:hint="default" w:ascii="Times New Roman" w:hAnsi="Times New Roman" w:eastAsia="楷体" w:cs="Times New Roman"/>
          <w:sz w:val="32"/>
          <w:szCs w:val="32"/>
          <w:lang w:eastAsia="zh-CN"/>
        </w:rPr>
        <w:t>执法检查单位</w:t>
      </w:r>
      <w:r>
        <w:rPr>
          <w:rFonts w:hint="default" w:ascii="Times New Roman" w:hAnsi="Times New Roman" w:eastAsia="楷体" w:cs="Times New Roman"/>
          <w:sz w:val="32"/>
          <w:szCs w:val="32"/>
        </w:rPr>
        <w:t>数量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1.执法检查单位数量。参考市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统计局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2023年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下发的执法检查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调查单位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任务量确定区本级执法检查企业基础数量，全年执法检查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数量不少于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数据核查单位数量。根据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市执法监督局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提出的数量确定。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</w:t>
      </w:r>
      <w:r>
        <w:rPr>
          <w:rFonts w:hint="eastAsia" w:ascii="楷体" w:hAnsi="楷体" w:eastAsia="楷体"/>
          <w:sz w:val="32"/>
          <w:szCs w:val="32"/>
          <w:lang w:eastAsia="zh-CN"/>
        </w:rPr>
        <w:t>二</w:t>
      </w:r>
      <w:r>
        <w:rPr>
          <w:rFonts w:hint="eastAsia" w:ascii="楷体" w:hAnsi="楷体" w:eastAsia="楷体"/>
          <w:sz w:val="32"/>
          <w:szCs w:val="32"/>
        </w:rPr>
        <w:t>）检查专业、指标</w:t>
      </w:r>
      <w:r>
        <w:rPr>
          <w:rFonts w:hint="eastAsia" w:ascii="楷体" w:hAnsi="楷体" w:eastAsia="楷体"/>
          <w:sz w:val="32"/>
          <w:szCs w:val="32"/>
          <w:lang w:eastAsia="zh-CN"/>
        </w:rPr>
        <w:t>及报表</w:t>
      </w:r>
      <w:r>
        <w:rPr>
          <w:rFonts w:hint="eastAsia" w:ascii="楷体" w:hAnsi="楷体" w:eastAsia="楷体"/>
          <w:sz w:val="32"/>
          <w:szCs w:val="32"/>
        </w:rPr>
        <w:t>期别</w:t>
      </w:r>
    </w:p>
    <w:tbl>
      <w:tblPr>
        <w:tblStyle w:val="6"/>
        <w:tblW w:w="11238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1979"/>
        <w:gridCol w:w="1529"/>
        <w:gridCol w:w="2401"/>
        <w:gridCol w:w="2710"/>
        <w:gridCol w:w="170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" w:hAnsi="仿宋" w:eastAsia="仿宋" w:cs="仿宋"/>
                <w:b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4"/>
              </w:rPr>
              <w:t>序号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" w:hAnsi="仿宋" w:eastAsia="仿宋" w:cs="仿宋"/>
                <w:b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4"/>
              </w:rPr>
              <w:t>专业</w:t>
            </w:r>
          </w:p>
        </w:tc>
        <w:tc>
          <w:tcPr>
            <w:tcW w:w="1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sz w:val="28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4"/>
                <w:lang w:val="en-US" w:eastAsia="zh-CN"/>
              </w:rPr>
              <w:t>单位数量</w:t>
            </w:r>
          </w:p>
        </w:tc>
        <w:tc>
          <w:tcPr>
            <w:tcW w:w="24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" w:hAnsi="仿宋" w:eastAsia="仿宋" w:cs="仿宋"/>
                <w:b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4"/>
              </w:rPr>
              <w:t>执法指标</w:t>
            </w:r>
          </w:p>
        </w:tc>
        <w:tc>
          <w:tcPr>
            <w:tcW w:w="27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" w:hAnsi="仿宋" w:eastAsia="仿宋" w:cs="仿宋"/>
                <w:b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4"/>
                <w:lang w:eastAsia="zh-CN"/>
              </w:rPr>
              <w:t>报表</w:t>
            </w:r>
            <w:r>
              <w:rPr>
                <w:rFonts w:hint="eastAsia" w:ascii="仿宋" w:hAnsi="仿宋" w:eastAsia="仿宋" w:cs="仿宋"/>
                <w:b/>
                <w:sz w:val="28"/>
                <w:szCs w:val="24"/>
              </w:rPr>
              <w:t>期别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" w:hAnsi="仿宋" w:eastAsia="仿宋" w:cs="仿宋"/>
                <w:b/>
                <w:sz w:val="28"/>
                <w:szCs w:val="24"/>
              </w:rPr>
            </w:pPr>
            <w:r>
              <w:rPr>
                <w:rFonts w:ascii="仿宋" w:hAnsi="仿宋" w:eastAsia="仿宋" w:cs="仿宋"/>
                <w:b/>
                <w:sz w:val="28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规上工业</w:t>
            </w:r>
          </w:p>
        </w:tc>
        <w:tc>
          <w:tcPr>
            <w:tcW w:w="1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4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工业总产值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营业收入</w:t>
            </w:r>
          </w:p>
        </w:tc>
        <w:tc>
          <w:tcPr>
            <w:tcW w:w="271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12月或4季度定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报数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年当期数</w:t>
            </w:r>
          </w:p>
        </w:tc>
        <w:tc>
          <w:tcPr>
            <w:tcW w:w="17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除所列主要执法指标外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</w:t>
            </w:r>
            <w:r>
              <w:rPr>
                <w:rFonts w:ascii="仿宋" w:hAnsi="仿宋" w:eastAsia="仿宋" w:cs="仿宋"/>
                <w:sz w:val="24"/>
                <w:szCs w:val="24"/>
              </w:rPr>
              <w:t>可视情况增加各专业相关指标为执法指标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固定资产投资</w:t>
            </w:r>
          </w:p>
        </w:tc>
        <w:tc>
          <w:tcPr>
            <w:tcW w:w="1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4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本年完成投资</w:t>
            </w:r>
          </w:p>
        </w:tc>
        <w:tc>
          <w:tcPr>
            <w:tcW w:w="27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限上批发零售业</w:t>
            </w:r>
          </w:p>
        </w:tc>
        <w:tc>
          <w:tcPr>
            <w:tcW w:w="1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4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营业收入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商品销售额</w:t>
            </w:r>
          </w:p>
        </w:tc>
        <w:tc>
          <w:tcPr>
            <w:tcW w:w="27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限上住宿餐饮业</w:t>
            </w:r>
          </w:p>
        </w:tc>
        <w:tc>
          <w:tcPr>
            <w:tcW w:w="1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营业收入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720" w:firstLineChars="3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营业额</w:t>
            </w:r>
          </w:p>
        </w:tc>
        <w:tc>
          <w:tcPr>
            <w:tcW w:w="27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建筑业</w:t>
            </w:r>
          </w:p>
        </w:tc>
        <w:tc>
          <w:tcPr>
            <w:tcW w:w="1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建筑业总产值</w:t>
            </w:r>
          </w:p>
        </w:tc>
        <w:tc>
          <w:tcPr>
            <w:tcW w:w="27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房地产业</w:t>
            </w:r>
          </w:p>
        </w:tc>
        <w:tc>
          <w:tcPr>
            <w:tcW w:w="1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商品房销售面积</w:t>
            </w:r>
          </w:p>
        </w:tc>
        <w:tc>
          <w:tcPr>
            <w:tcW w:w="27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规上服务业</w:t>
            </w:r>
          </w:p>
        </w:tc>
        <w:tc>
          <w:tcPr>
            <w:tcW w:w="1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营业收入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营业利润</w:t>
            </w:r>
          </w:p>
        </w:tc>
        <w:tc>
          <w:tcPr>
            <w:tcW w:w="27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能源</w:t>
            </w:r>
          </w:p>
        </w:tc>
        <w:tc>
          <w:tcPr>
            <w:tcW w:w="1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3（包含在规上工业中）</w:t>
            </w:r>
          </w:p>
        </w:tc>
        <w:tc>
          <w:tcPr>
            <w:tcW w:w="24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能源产品产量</w:t>
            </w:r>
          </w:p>
        </w:tc>
        <w:tc>
          <w:tcPr>
            <w:tcW w:w="27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劳动工资</w:t>
            </w:r>
          </w:p>
        </w:tc>
        <w:tc>
          <w:tcPr>
            <w:tcW w:w="1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从业人员期末人数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从业人员工资总额</w:t>
            </w:r>
          </w:p>
        </w:tc>
        <w:tc>
          <w:tcPr>
            <w:tcW w:w="27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企业研发</w:t>
            </w:r>
          </w:p>
        </w:tc>
        <w:tc>
          <w:tcPr>
            <w:tcW w:w="15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2（包含在规上工业中）</w:t>
            </w:r>
          </w:p>
        </w:tc>
        <w:tc>
          <w:tcPr>
            <w:tcW w:w="24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研究开发费用合计</w:t>
            </w:r>
          </w:p>
        </w:tc>
        <w:tc>
          <w:tcPr>
            <w:tcW w:w="27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相关要求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（一）组建执法检查组。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原则上检查月16日前选定检查组成员，组长原则上由分管副局长担任，成员为持有统计执法证人员和专业股室负责人。检查组成员确定后原则上不得进行变更。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（二）组织业务知识培训。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根据统计执法检查任务内容需在检查组出发2日前完成业务知识培训，明确执法检查各项工作任务，统一执法检查标准。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（三）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廉洁自律规范执法。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检查组要</w:t>
      </w:r>
      <w:r>
        <w:rPr>
          <w:rFonts w:hint="eastAsia" w:ascii="仿宋_GB2312" w:eastAsia="仿宋_GB2312"/>
          <w:color w:val="000000"/>
          <w:sz w:val="32"/>
          <w:szCs w:val="32"/>
        </w:rPr>
        <w:t>严格依法依规开展统计执法检查，执法过程要坚持实事求是、客观公正、统一规范、文明执法、高效廉洁原则，执法人员必须做到服从安排、认真负责、保守秘密、吃苦耐劳，切实提高统计执法检查工作的规范性。</w:t>
      </w:r>
    </w:p>
    <w:sectPr>
      <w:footerReference r:id="rId3" w:type="default"/>
      <w:pgSz w:w="11906" w:h="16838"/>
      <w:pgMar w:top="1440" w:right="1531" w:bottom="204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-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3F05B1"/>
    <w:multiLevelType w:val="singleLevel"/>
    <w:tmpl w:val="FD3F05B1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lZmNhZWMzOTNmNTYxNWRjZDE0Y2RhZTlhMjhjNjUifQ=="/>
  </w:docVars>
  <w:rsids>
    <w:rsidRoot w:val="7C2D1295"/>
    <w:rsid w:val="081E443E"/>
    <w:rsid w:val="0E5309C5"/>
    <w:rsid w:val="1D9774D2"/>
    <w:rsid w:val="1FFAC2C7"/>
    <w:rsid w:val="23BA1F93"/>
    <w:rsid w:val="252E530E"/>
    <w:rsid w:val="25F10810"/>
    <w:rsid w:val="282D502B"/>
    <w:rsid w:val="2B793752"/>
    <w:rsid w:val="2BEF9C73"/>
    <w:rsid w:val="2C5F142A"/>
    <w:rsid w:val="2E764DF7"/>
    <w:rsid w:val="3EFF49E6"/>
    <w:rsid w:val="3FF91287"/>
    <w:rsid w:val="482D7AFD"/>
    <w:rsid w:val="4BF540F7"/>
    <w:rsid w:val="541B2687"/>
    <w:rsid w:val="57576EDE"/>
    <w:rsid w:val="5D0BC261"/>
    <w:rsid w:val="5DD059EA"/>
    <w:rsid w:val="5FEF5662"/>
    <w:rsid w:val="5FF9E67B"/>
    <w:rsid w:val="61DC5055"/>
    <w:rsid w:val="62FF189D"/>
    <w:rsid w:val="6821171D"/>
    <w:rsid w:val="6CFFFB61"/>
    <w:rsid w:val="70414477"/>
    <w:rsid w:val="71997BD7"/>
    <w:rsid w:val="73196D60"/>
    <w:rsid w:val="775FC35E"/>
    <w:rsid w:val="77AE76D7"/>
    <w:rsid w:val="77D20F52"/>
    <w:rsid w:val="77DF8DFA"/>
    <w:rsid w:val="77FBAFE8"/>
    <w:rsid w:val="79FF682F"/>
    <w:rsid w:val="7C2D1295"/>
    <w:rsid w:val="7CE73210"/>
    <w:rsid w:val="7DB3DD05"/>
    <w:rsid w:val="7DB741AD"/>
    <w:rsid w:val="7DDB7604"/>
    <w:rsid w:val="7EFF44E6"/>
    <w:rsid w:val="7FEEA28E"/>
    <w:rsid w:val="7FFF691C"/>
    <w:rsid w:val="7FFFD321"/>
    <w:rsid w:val="8EFB3FE3"/>
    <w:rsid w:val="9EEEA950"/>
    <w:rsid w:val="9EFDCA3D"/>
    <w:rsid w:val="A51B9E00"/>
    <w:rsid w:val="ADFC3D41"/>
    <w:rsid w:val="BAF13670"/>
    <w:rsid w:val="BFB177C7"/>
    <w:rsid w:val="BFBFC489"/>
    <w:rsid w:val="D0FA8A11"/>
    <w:rsid w:val="DF9FC475"/>
    <w:rsid w:val="E7A7E9B1"/>
    <w:rsid w:val="E7D741E4"/>
    <w:rsid w:val="EC2C78CF"/>
    <w:rsid w:val="EFBBFC71"/>
    <w:rsid w:val="EFFDF0C0"/>
    <w:rsid w:val="F9EE39D4"/>
    <w:rsid w:val="FCA4A828"/>
    <w:rsid w:val="FCFFC8E1"/>
    <w:rsid w:val="FFD3AD35"/>
    <w:rsid w:val="FFFBA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7"/>
    <w:autoRedefine/>
    <w:qFormat/>
    <w:uiPriority w:val="0"/>
    <w:rPr>
      <w:color w:val="800080"/>
      <w:u w:val="none"/>
    </w:rPr>
  </w:style>
  <w:style w:type="character" w:styleId="9">
    <w:name w:val="Hyperlink"/>
    <w:basedOn w:val="7"/>
    <w:autoRedefine/>
    <w:qFormat/>
    <w:uiPriority w:val="0"/>
    <w:rPr>
      <w:color w:val="0000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1433</Words>
  <Characters>1481</Characters>
  <Lines>0</Lines>
  <Paragraphs>0</Paragraphs>
  <TotalTime>92</TotalTime>
  <ScaleCrop>false</ScaleCrop>
  <LinksUpToDate>false</LinksUpToDate>
  <CharactersWithSpaces>1552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2022-01-30T16:20:00Z</dcterms:created>
  <dc:creator>史润林(分管领导签发)</dc:creator>
  <cp:lastModifiedBy>bayasua</cp:lastModifiedBy>
  <cp:lastPrinted>2024-03-25T10:27:00Z</cp:lastPrinted>
  <dcterms:modified xsi:type="dcterms:W3CDTF">2024-03-25T07:08:28Z</dcterms:modified>
  <dc:title>内蒙古自治区统计局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31D116E1F40A4D2FBF748ABA34448273_13</vt:lpwstr>
  </property>
</Properties>
</file>