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0" w:firstLineChars="0"/>
        <w:jc w:val="both"/>
        <w:rPr>
          <w:rFonts w:hint="eastAsia" w:ascii="宋体" w:hAnsi="宋体" w:eastAsia="宋体" w:cs="宋体"/>
          <w:color w:val="auto"/>
          <w:spacing w:val="-12"/>
        </w:rPr>
      </w:pPr>
    </w:p>
    <w:p>
      <w:pPr>
        <w:ind w:left="-240" w:leftChars="-100" w:right="-240" w:rightChars="-100" w:firstLine="0" w:firstLineChars="0"/>
        <w:jc w:val="center"/>
        <w:rPr>
          <w:rFonts w:hint="eastAsia" w:ascii="宋体" w:hAnsi="宋体" w:eastAsia="宋体" w:cs="宋体"/>
          <w:b/>
          <w:color w:val="auto"/>
          <w:w w:val="100"/>
          <w:sz w:val="36"/>
          <w:szCs w:val="36"/>
        </w:rPr>
      </w:pPr>
      <w:r>
        <w:rPr>
          <w:rFonts w:hint="eastAsia" w:ascii="宋体" w:hAnsi="宋体" w:eastAsia="宋体" w:cs="宋体"/>
          <w:b/>
          <w:color w:val="auto"/>
          <w:w w:val="100"/>
          <w:sz w:val="36"/>
          <w:szCs w:val="36"/>
        </w:rPr>
        <w:t>内蒙古自治区平庄煤田原五家煤矿一井东部</w:t>
      </w:r>
    </w:p>
    <w:p>
      <w:pPr>
        <w:ind w:left="-240" w:leftChars="-100" w:right="-240" w:rightChars="-100" w:firstLine="0" w:firstLineChars="0"/>
        <w:jc w:val="center"/>
        <w:rPr>
          <w:rFonts w:hint="eastAsia" w:ascii="宋体" w:hAnsi="宋体" w:eastAsia="宋体" w:cs="宋体"/>
          <w:b/>
          <w:color w:val="auto"/>
          <w:w w:val="100"/>
          <w:sz w:val="36"/>
          <w:szCs w:val="36"/>
        </w:rPr>
      </w:pPr>
      <w:r>
        <w:rPr>
          <w:rFonts w:hint="eastAsia" w:ascii="宋体" w:hAnsi="宋体" w:eastAsia="宋体" w:cs="宋体"/>
          <w:b/>
          <w:color w:val="auto"/>
          <w:w w:val="100"/>
          <w:sz w:val="36"/>
          <w:szCs w:val="36"/>
        </w:rPr>
        <w:t>炭质泥岩矿</w:t>
      </w:r>
    </w:p>
    <w:p>
      <w:pPr>
        <w:widowControl/>
        <w:topLinePunct/>
        <w:adjustRightInd/>
        <w:snapToGrid/>
        <w:ind w:firstLine="0" w:firstLineChars="0"/>
        <w:jc w:val="center"/>
        <w:rPr>
          <w:rFonts w:hint="eastAsia" w:ascii="宋体" w:hAnsi="宋体" w:eastAsia="宋体" w:cs="宋体"/>
          <w:b/>
          <w:color w:val="auto"/>
          <w:w w:val="100"/>
          <w:kern w:val="0"/>
          <w:sz w:val="36"/>
          <w:szCs w:val="36"/>
        </w:rPr>
      </w:pPr>
      <w:r>
        <w:rPr>
          <w:rFonts w:hint="eastAsia" w:ascii="宋体" w:hAnsi="宋体" w:eastAsia="宋体" w:cs="宋体"/>
          <w:b/>
          <w:color w:val="auto"/>
          <w:w w:val="100"/>
          <w:kern w:val="0"/>
          <w:sz w:val="36"/>
          <w:szCs w:val="36"/>
        </w:rPr>
        <w:t>202</w:t>
      </w:r>
      <w:r>
        <w:rPr>
          <w:rFonts w:hint="eastAsia" w:ascii="宋体" w:hAnsi="宋体" w:eastAsia="宋体" w:cs="宋体"/>
          <w:b/>
          <w:color w:val="auto"/>
          <w:w w:val="100"/>
          <w:kern w:val="0"/>
          <w:sz w:val="36"/>
          <w:szCs w:val="36"/>
          <w:lang w:val="en-US" w:eastAsia="zh-CN"/>
        </w:rPr>
        <w:t>4</w:t>
      </w:r>
      <w:r>
        <w:rPr>
          <w:rFonts w:hint="eastAsia" w:ascii="宋体" w:hAnsi="宋体" w:eastAsia="宋体" w:cs="宋体"/>
          <w:b/>
          <w:color w:val="auto"/>
          <w:w w:val="100"/>
          <w:kern w:val="0"/>
          <w:sz w:val="36"/>
          <w:szCs w:val="36"/>
        </w:rPr>
        <w:t>年度</w:t>
      </w:r>
      <w:r>
        <w:rPr>
          <w:rFonts w:hint="eastAsia" w:ascii="宋体" w:hAnsi="宋体" w:eastAsia="宋体" w:cs="宋体"/>
          <w:b/>
          <w:color w:val="auto"/>
          <w:w w:val="100"/>
          <w:sz w:val="36"/>
          <w:szCs w:val="36"/>
        </w:rPr>
        <w:t>矿山地质环境治理计划书</w:t>
      </w:r>
    </w:p>
    <w:p>
      <w:pPr>
        <w:ind w:firstLine="0" w:firstLineChars="0"/>
        <w:jc w:val="center"/>
        <w:rPr>
          <w:rFonts w:hint="eastAsia" w:ascii="宋体" w:hAnsi="宋体" w:eastAsia="宋体" w:cs="宋体"/>
          <w:b/>
          <w:color w:val="auto"/>
          <w:spacing w:val="20"/>
          <w:sz w:val="36"/>
          <w:szCs w:val="36"/>
        </w:rPr>
      </w:pPr>
    </w:p>
    <w:p>
      <w:pPr>
        <w:ind w:firstLine="0" w:firstLineChars="0"/>
        <w:jc w:val="center"/>
        <w:rPr>
          <w:rFonts w:hint="eastAsia" w:ascii="宋体" w:hAnsi="宋体" w:eastAsia="宋体" w:cs="宋体"/>
          <w:color w:val="auto"/>
          <w:sz w:val="28"/>
        </w:rPr>
      </w:pPr>
    </w:p>
    <w:p>
      <w:pPr>
        <w:ind w:firstLine="0" w:firstLineChars="0"/>
        <w:jc w:val="center"/>
        <w:rPr>
          <w:rFonts w:hint="eastAsia" w:ascii="宋体" w:hAnsi="宋体" w:eastAsia="宋体" w:cs="宋体"/>
          <w:color w:val="auto"/>
          <w:sz w:val="28"/>
        </w:rPr>
      </w:pPr>
    </w:p>
    <w:p>
      <w:pPr>
        <w:ind w:firstLine="0" w:firstLineChars="0"/>
        <w:jc w:val="center"/>
        <w:rPr>
          <w:rFonts w:hint="eastAsia" w:ascii="宋体" w:hAnsi="宋体" w:eastAsia="宋体" w:cs="宋体"/>
          <w:color w:val="auto"/>
          <w:sz w:val="28"/>
        </w:rPr>
      </w:pPr>
    </w:p>
    <w:p>
      <w:pPr>
        <w:ind w:firstLine="0" w:firstLineChars="0"/>
        <w:jc w:val="center"/>
        <w:rPr>
          <w:rFonts w:hint="eastAsia" w:ascii="宋体" w:hAnsi="宋体" w:eastAsia="宋体" w:cs="宋体"/>
          <w:color w:val="auto"/>
          <w:sz w:val="28"/>
        </w:rPr>
      </w:pPr>
    </w:p>
    <w:p>
      <w:pPr>
        <w:ind w:firstLine="0" w:firstLineChars="0"/>
        <w:jc w:val="center"/>
        <w:rPr>
          <w:rFonts w:hint="eastAsia" w:ascii="宋体" w:hAnsi="宋体" w:eastAsia="宋体" w:cs="宋体"/>
          <w:color w:val="auto"/>
          <w:sz w:val="28"/>
        </w:rPr>
      </w:pPr>
    </w:p>
    <w:p>
      <w:pPr>
        <w:ind w:firstLine="0" w:firstLineChars="0"/>
        <w:jc w:val="center"/>
        <w:rPr>
          <w:rFonts w:hint="eastAsia" w:ascii="宋体" w:hAnsi="宋体" w:eastAsia="宋体" w:cs="宋体"/>
          <w:color w:val="auto"/>
          <w:sz w:val="28"/>
        </w:rPr>
      </w:pPr>
    </w:p>
    <w:p>
      <w:pPr>
        <w:ind w:firstLine="0" w:firstLineChars="0"/>
        <w:jc w:val="center"/>
        <w:rPr>
          <w:rFonts w:hint="eastAsia" w:ascii="宋体" w:hAnsi="宋体" w:eastAsia="宋体" w:cs="宋体"/>
          <w:color w:val="auto"/>
          <w:sz w:val="28"/>
        </w:rPr>
      </w:pPr>
    </w:p>
    <w:p>
      <w:pPr>
        <w:widowControl/>
        <w:topLinePunct/>
        <w:adjustRightInd/>
        <w:snapToGrid/>
        <w:ind w:firstLine="0" w:firstLineChars="0"/>
        <w:jc w:val="center"/>
        <w:rPr>
          <w:rFonts w:hint="eastAsia" w:ascii="宋体" w:hAnsi="宋体" w:eastAsia="宋体" w:cs="宋体"/>
          <w:b/>
          <w:color w:val="auto"/>
          <w:kern w:val="0"/>
          <w:sz w:val="32"/>
          <w:szCs w:val="22"/>
        </w:rPr>
      </w:pPr>
    </w:p>
    <w:p>
      <w:pPr>
        <w:widowControl/>
        <w:topLinePunct/>
        <w:adjustRightInd/>
        <w:snapToGrid/>
        <w:ind w:firstLine="0" w:firstLineChars="0"/>
        <w:jc w:val="center"/>
        <w:rPr>
          <w:rFonts w:hint="eastAsia" w:ascii="宋体" w:hAnsi="宋体" w:eastAsia="宋体" w:cs="宋体"/>
          <w:b/>
          <w:color w:val="auto"/>
          <w:kern w:val="0"/>
          <w:sz w:val="32"/>
          <w:szCs w:val="22"/>
        </w:rPr>
      </w:pPr>
    </w:p>
    <w:p>
      <w:pPr>
        <w:widowControl/>
        <w:topLinePunct/>
        <w:adjustRightInd/>
        <w:snapToGrid/>
        <w:ind w:firstLine="0" w:firstLineChars="0"/>
        <w:jc w:val="center"/>
        <w:rPr>
          <w:rFonts w:hint="eastAsia" w:ascii="宋体" w:hAnsi="宋体" w:eastAsia="宋体" w:cs="宋体"/>
          <w:b/>
          <w:color w:val="auto"/>
          <w:kern w:val="0"/>
          <w:sz w:val="32"/>
          <w:szCs w:val="22"/>
        </w:rPr>
      </w:pPr>
    </w:p>
    <w:p>
      <w:pPr>
        <w:widowControl/>
        <w:topLinePunct/>
        <w:adjustRightInd/>
        <w:snapToGrid/>
        <w:ind w:firstLine="0" w:firstLineChars="0"/>
        <w:jc w:val="center"/>
        <w:rPr>
          <w:rFonts w:hint="eastAsia" w:ascii="宋体" w:hAnsi="宋体" w:eastAsia="宋体" w:cs="宋体"/>
          <w:b/>
          <w:color w:val="auto"/>
          <w:kern w:val="0"/>
          <w:sz w:val="32"/>
          <w:szCs w:val="22"/>
        </w:rPr>
      </w:pPr>
    </w:p>
    <w:p>
      <w:pPr>
        <w:widowControl/>
        <w:topLinePunct/>
        <w:adjustRightInd/>
        <w:snapToGrid/>
        <w:ind w:firstLine="0" w:firstLineChars="0"/>
        <w:jc w:val="center"/>
        <w:rPr>
          <w:rFonts w:hint="eastAsia" w:ascii="宋体" w:hAnsi="宋体" w:eastAsia="宋体" w:cs="宋体"/>
          <w:b/>
          <w:color w:val="auto"/>
          <w:kern w:val="0"/>
          <w:sz w:val="32"/>
          <w:szCs w:val="22"/>
        </w:rPr>
      </w:pPr>
    </w:p>
    <w:p>
      <w:pPr>
        <w:widowControl/>
        <w:topLinePunct/>
        <w:adjustRightInd/>
        <w:snapToGrid/>
        <w:ind w:firstLine="0" w:firstLineChars="0"/>
        <w:jc w:val="center"/>
        <w:rPr>
          <w:rFonts w:hint="eastAsia" w:ascii="宋体" w:hAnsi="宋体" w:eastAsia="宋体" w:cs="宋体"/>
          <w:b/>
          <w:color w:val="auto"/>
          <w:kern w:val="0"/>
          <w:sz w:val="32"/>
          <w:szCs w:val="22"/>
        </w:rPr>
      </w:pPr>
    </w:p>
    <w:p>
      <w:pPr>
        <w:widowControl/>
        <w:topLinePunct/>
        <w:adjustRightInd/>
        <w:snapToGrid/>
        <w:ind w:firstLine="0" w:firstLineChars="0"/>
        <w:jc w:val="center"/>
        <w:rPr>
          <w:rFonts w:hint="eastAsia" w:ascii="宋体" w:hAnsi="宋体" w:eastAsia="宋体" w:cs="宋体"/>
          <w:b/>
          <w:color w:val="auto"/>
          <w:kern w:val="0"/>
          <w:sz w:val="32"/>
          <w:szCs w:val="22"/>
        </w:rPr>
      </w:pPr>
    </w:p>
    <w:p>
      <w:pPr>
        <w:widowControl/>
        <w:topLinePunct/>
        <w:adjustRightInd/>
        <w:snapToGrid/>
        <w:ind w:firstLine="0" w:firstLineChars="0"/>
        <w:jc w:val="center"/>
        <w:rPr>
          <w:rFonts w:hint="eastAsia" w:ascii="宋体" w:hAnsi="宋体" w:eastAsia="宋体" w:cs="宋体"/>
          <w:b/>
          <w:color w:val="auto"/>
          <w:kern w:val="0"/>
          <w:sz w:val="32"/>
          <w:szCs w:val="22"/>
        </w:rPr>
      </w:pPr>
    </w:p>
    <w:p>
      <w:pPr>
        <w:ind w:firstLine="640"/>
        <w:jc w:val="center"/>
        <w:rPr>
          <w:rFonts w:hint="eastAsia" w:ascii="宋体" w:hAnsi="宋体" w:eastAsia="宋体" w:cs="宋体"/>
          <w:b/>
          <w:bCs/>
          <w:color w:val="auto"/>
          <w:sz w:val="32"/>
        </w:rPr>
      </w:pPr>
      <w:r>
        <w:rPr>
          <w:rFonts w:hint="eastAsia" w:ascii="宋体" w:hAnsi="宋体" w:eastAsia="宋体" w:cs="宋体"/>
          <w:b/>
          <w:bCs/>
          <w:color w:val="auto"/>
          <w:sz w:val="32"/>
        </w:rPr>
        <w:t>元宝山区五家镇嘉润碳质泥岩有限责任公司</w:t>
      </w:r>
    </w:p>
    <w:p>
      <w:pPr>
        <w:pStyle w:val="49"/>
        <w:ind w:left="113" w:leftChars="47"/>
        <w:jc w:val="center"/>
        <w:rPr>
          <w:rFonts w:hint="eastAsia" w:ascii="宋体" w:hAnsi="宋体" w:eastAsia="宋体" w:cs="宋体"/>
          <w:b/>
          <w:bCs/>
          <w:color w:val="auto"/>
          <w:sz w:val="32"/>
          <w:szCs w:val="32"/>
        </w:rPr>
      </w:pPr>
      <w:r>
        <w:rPr>
          <w:rFonts w:hint="eastAsia" w:ascii="宋体" w:hAnsi="宋体" w:eastAsia="宋体" w:cs="宋体"/>
          <w:b/>
          <w:bCs/>
          <w:color w:val="auto"/>
          <w:sz w:val="32"/>
          <w:szCs w:val="32"/>
        </w:rPr>
        <w:t>二〇二</w:t>
      </w:r>
      <w:r>
        <w:rPr>
          <w:rFonts w:hint="eastAsia" w:ascii="宋体" w:hAnsi="宋体" w:eastAsia="宋体" w:cs="宋体"/>
          <w:b/>
          <w:bCs/>
          <w:color w:val="auto"/>
          <w:sz w:val="32"/>
          <w:szCs w:val="32"/>
          <w:lang w:val="en-US" w:eastAsia="zh-CN"/>
        </w:rPr>
        <w:t>四</w:t>
      </w:r>
      <w:r>
        <w:rPr>
          <w:rFonts w:hint="eastAsia" w:ascii="宋体" w:hAnsi="宋体" w:eastAsia="宋体" w:cs="宋体"/>
          <w:b/>
          <w:bCs/>
          <w:color w:val="auto"/>
          <w:sz w:val="32"/>
          <w:szCs w:val="32"/>
        </w:rPr>
        <w:t>年</w:t>
      </w:r>
      <w:r>
        <w:rPr>
          <w:rFonts w:hint="eastAsia" w:ascii="宋体" w:hAnsi="宋体" w:eastAsia="宋体" w:cs="宋体"/>
          <w:b/>
          <w:bCs/>
          <w:color w:val="auto"/>
          <w:sz w:val="32"/>
          <w:szCs w:val="32"/>
          <w:lang w:eastAsia="zh-CN"/>
        </w:rPr>
        <w:t>三</w:t>
      </w:r>
      <w:r>
        <w:rPr>
          <w:rFonts w:hint="eastAsia" w:ascii="宋体" w:hAnsi="宋体" w:eastAsia="宋体" w:cs="宋体"/>
          <w:b/>
          <w:bCs/>
          <w:color w:val="auto"/>
          <w:sz w:val="32"/>
          <w:szCs w:val="32"/>
        </w:rPr>
        <w:t>月</w:t>
      </w:r>
    </w:p>
    <w:p>
      <w:pPr>
        <w:ind w:firstLine="480"/>
        <w:rPr>
          <w:rFonts w:hint="eastAsia" w:ascii="宋体" w:hAnsi="宋体" w:eastAsia="宋体" w:cs="宋体"/>
          <w:color w:val="auto"/>
          <w:highlight w:val="yellow"/>
        </w:rP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851" w:footer="992" w:gutter="0"/>
          <w:cols w:space="720" w:num="1"/>
          <w:docGrid w:linePitch="312" w:charSpace="0"/>
        </w:sectPr>
      </w:pPr>
    </w:p>
    <w:p>
      <w:pPr>
        <w:widowControl/>
        <w:topLinePunct/>
        <w:spacing w:line="800" w:lineRule="exact"/>
        <w:ind w:left="-240" w:leftChars="-100" w:right="-240" w:rightChars="-100" w:firstLine="598"/>
        <w:jc w:val="center"/>
        <w:rPr>
          <w:rFonts w:hint="eastAsia" w:ascii="宋体" w:hAnsi="宋体" w:eastAsia="宋体" w:cs="宋体"/>
          <w:b/>
          <w:color w:val="auto"/>
          <w:w w:val="93"/>
          <w:sz w:val="32"/>
          <w:szCs w:val="32"/>
        </w:rPr>
      </w:pPr>
    </w:p>
    <w:p>
      <w:pPr>
        <w:keepNext w:val="0"/>
        <w:keepLines w:val="0"/>
        <w:pageBreakBefore w:val="0"/>
        <w:kinsoku/>
        <w:wordWrap/>
        <w:overflowPunct/>
        <w:autoSpaceDE/>
        <w:autoSpaceDN/>
        <w:bidi w:val="0"/>
        <w:adjustRightInd w:val="0"/>
        <w:snapToGrid w:val="0"/>
        <w:spacing w:line="360" w:lineRule="auto"/>
        <w:ind w:left="0" w:leftChars="0" w:right="0" w:rightChars="0" w:firstLine="0" w:firstLineChars="0"/>
        <w:jc w:val="center"/>
        <w:textAlignment w:val="auto"/>
        <w:rPr>
          <w:rFonts w:hint="eastAsia" w:ascii="宋体" w:hAnsi="宋体" w:eastAsia="宋体" w:cs="宋体"/>
          <w:b/>
          <w:color w:val="auto"/>
          <w:w w:val="100"/>
          <w:sz w:val="32"/>
          <w:szCs w:val="32"/>
        </w:rPr>
      </w:pPr>
      <w:r>
        <w:rPr>
          <w:rFonts w:hint="eastAsia" w:ascii="宋体" w:hAnsi="宋体" w:eastAsia="宋体" w:cs="宋体"/>
          <w:b/>
          <w:color w:val="auto"/>
          <w:w w:val="100"/>
          <w:sz w:val="32"/>
          <w:szCs w:val="32"/>
        </w:rPr>
        <w:t>内蒙古自治区平庄煤田原五家煤矿一井东部</w:t>
      </w:r>
    </w:p>
    <w:p>
      <w:pPr>
        <w:keepNext w:val="0"/>
        <w:keepLines w:val="0"/>
        <w:pageBreakBefore w:val="0"/>
        <w:kinsoku/>
        <w:wordWrap/>
        <w:overflowPunct/>
        <w:autoSpaceDE/>
        <w:autoSpaceDN/>
        <w:bidi w:val="0"/>
        <w:adjustRightInd w:val="0"/>
        <w:snapToGrid w:val="0"/>
        <w:spacing w:line="360" w:lineRule="auto"/>
        <w:ind w:left="0" w:leftChars="0" w:right="0" w:rightChars="0" w:firstLine="0" w:firstLineChars="0"/>
        <w:jc w:val="center"/>
        <w:textAlignment w:val="auto"/>
        <w:rPr>
          <w:rFonts w:hint="eastAsia" w:ascii="宋体" w:hAnsi="宋体" w:eastAsia="宋体" w:cs="宋体"/>
          <w:b/>
          <w:color w:val="auto"/>
          <w:w w:val="100"/>
          <w:sz w:val="32"/>
          <w:szCs w:val="32"/>
        </w:rPr>
      </w:pPr>
      <w:r>
        <w:rPr>
          <w:rFonts w:hint="eastAsia" w:ascii="宋体" w:hAnsi="宋体" w:eastAsia="宋体" w:cs="宋体"/>
          <w:b/>
          <w:color w:val="auto"/>
          <w:w w:val="100"/>
          <w:sz w:val="32"/>
          <w:szCs w:val="32"/>
        </w:rPr>
        <w:t>炭质泥岩矿</w:t>
      </w:r>
    </w:p>
    <w:p>
      <w:pPr>
        <w:keepNext w:val="0"/>
        <w:keepLines w:val="0"/>
        <w:pageBreakBefore w:val="0"/>
        <w:widowControl/>
        <w:kinsoku/>
        <w:wordWrap/>
        <w:overflowPunct/>
        <w:topLinePunct/>
        <w:autoSpaceDE/>
        <w:autoSpaceDN/>
        <w:bidi w:val="0"/>
        <w:adjustRightInd w:val="0"/>
        <w:snapToGrid w:val="0"/>
        <w:spacing w:line="360" w:lineRule="auto"/>
        <w:ind w:left="0" w:leftChars="0" w:right="0" w:rightChars="0" w:firstLine="0" w:firstLineChars="0"/>
        <w:jc w:val="center"/>
        <w:textAlignment w:val="auto"/>
        <w:rPr>
          <w:rFonts w:hint="eastAsia" w:ascii="宋体" w:hAnsi="宋体" w:eastAsia="宋体" w:cs="宋体"/>
          <w:b/>
          <w:color w:val="auto"/>
          <w:w w:val="100"/>
          <w:sz w:val="32"/>
          <w:szCs w:val="32"/>
        </w:rPr>
      </w:pPr>
      <w:r>
        <w:rPr>
          <w:rFonts w:hint="eastAsia" w:ascii="宋体" w:hAnsi="宋体" w:eastAsia="宋体" w:cs="宋体"/>
          <w:b/>
          <w:color w:val="auto"/>
          <w:w w:val="100"/>
          <w:sz w:val="32"/>
          <w:szCs w:val="32"/>
        </w:rPr>
        <w:t>202</w:t>
      </w:r>
      <w:r>
        <w:rPr>
          <w:rFonts w:hint="eastAsia" w:ascii="宋体" w:hAnsi="宋体" w:eastAsia="宋体" w:cs="宋体"/>
          <w:b/>
          <w:color w:val="auto"/>
          <w:w w:val="100"/>
          <w:sz w:val="32"/>
          <w:szCs w:val="32"/>
          <w:lang w:val="en-US" w:eastAsia="zh-CN"/>
        </w:rPr>
        <w:t>4</w:t>
      </w:r>
      <w:r>
        <w:rPr>
          <w:rFonts w:hint="eastAsia" w:ascii="宋体" w:hAnsi="宋体" w:eastAsia="宋体" w:cs="宋体"/>
          <w:b/>
          <w:color w:val="auto"/>
          <w:w w:val="100"/>
          <w:sz w:val="32"/>
          <w:szCs w:val="32"/>
        </w:rPr>
        <w:t>年度矿山地质环境治理计划书</w:t>
      </w:r>
    </w:p>
    <w:p>
      <w:pPr>
        <w:spacing w:line="800" w:lineRule="exact"/>
        <w:ind w:firstLine="643"/>
        <w:rPr>
          <w:rFonts w:hint="eastAsia" w:ascii="宋体" w:hAnsi="宋体" w:eastAsia="宋体" w:cs="宋体"/>
          <w:b/>
          <w:color w:val="auto"/>
          <w:sz w:val="32"/>
        </w:rPr>
      </w:pPr>
    </w:p>
    <w:p>
      <w:pPr>
        <w:spacing w:line="700" w:lineRule="exact"/>
        <w:ind w:firstLine="675" w:firstLineChars="210"/>
        <w:rPr>
          <w:rFonts w:hint="eastAsia" w:ascii="宋体" w:hAnsi="宋体" w:eastAsia="宋体" w:cs="宋体"/>
          <w:b/>
          <w:color w:val="auto"/>
          <w:sz w:val="32"/>
        </w:rPr>
      </w:pPr>
    </w:p>
    <w:p>
      <w:pPr>
        <w:spacing w:line="700" w:lineRule="exact"/>
        <w:ind w:left="0" w:leftChars="0" w:firstLine="0" w:firstLineChars="0"/>
        <w:rPr>
          <w:rFonts w:hint="eastAsia" w:ascii="宋体" w:hAnsi="宋体" w:eastAsia="宋体" w:cs="宋体"/>
          <w:b/>
          <w:color w:val="auto"/>
          <w:sz w:val="32"/>
        </w:rPr>
      </w:pPr>
    </w:p>
    <w:p>
      <w:pPr>
        <w:spacing w:line="700" w:lineRule="exact"/>
        <w:ind w:firstLine="675" w:firstLineChars="210"/>
        <w:rPr>
          <w:rFonts w:hint="eastAsia" w:ascii="宋体" w:hAnsi="宋体" w:eastAsia="宋体" w:cs="宋体"/>
          <w:b/>
          <w:color w:val="auto"/>
          <w:sz w:val="32"/>
        </w:rPr>
      </w:pPr>
    </w:p>
    <w:p>
      <w:pPr>
        <w:spacing w:line="700" w:lineRule="exact"/>
        <w:ind w:left="0" w:leftChars="0" w:firstLine="0" w:firstLineChars="0"/>
        <w:jc w:val="left"/>
        <w:rPr>
          <w:rFonts w:hint="eastAsia" w:ascii="宋体" w:hAnsi="宋体" w:eastAsia="宋体" w:cs="宋体"/>
          <w:b/>
          <w:color w:val="auto"/>
          <w:sz w:val="32"/>
        </w:rPr>
      </w:pPr>
    </w:p>
    <w:p>
      <w:pPr>
        <w:pStyle w:val="2"/>
        <w:rPr>
          <w:rFonts w:hint="eastAsia" w:ascii="宋体" w:hAnsi="宋体" w:eastAsia="宋体" w:cs="宋体"/>
          <w:b/>
          <w:color w:val="auto"/>
          <w:sz w:val="32"/>
        </w:rPr>
      </w:pPr>
    </w:p>
    <w:p>
      <w:pPr>
        <w:pStyle w:val="2"/>
        <w:rPr>
          <w:rFonts w:hint="eastAsia" w:ascii="宋体" w:hAnsi="宋体" w:eastAsia="宋体" w:cs="宋体"/>
          <w:b/>
          <w:color w:val="auto"/>
          <w:sz w:val="32"/>
        </w:rPr>
      </w:pPr>
    </w:p>
    <w:p>
      <w:pPr>
        <w:pStyle w:val="2"/>
        <w:rPr>
          <w:rFonts w:hint="eastAsia" w:ascii="宋体" w:hAnsi="宋体" w:eastAsia="宋体" w:cs="宋体"/>
          <w:b/>
          <w:color w:val="auto"/>
          <w:sz w:val="32"/>
        </w:rPr>
      </w:pPr>
    </w:p>
    <w:p>
      <w:pPr>
        <w:pStyle w:val="2"/>
        <w:rPr>
          <w:rFonts w:hint="eastAsia" w:ascii="宋体" w:hAnsi="宋体" w:eastAsia="宋体" w:cs="宋体"/>
          <w:b/>
          <w:color w:val="auto"/>
          <w:sz w:val="32"/>
        </w:rPr>
      </w:pPr>
    </w:p>
    <w:p>
      <w:pPr>
        <w:pStyle w:val="2"/>
        <w:rPr>
          <w:rFonts w:hint="eastAsia" w:ascii="宋体" w:hAnsi="宋体" w:eastAsia="宋体" w:cs="宋体"/>
          <w:b/>
          <w:color w:val="auto"/>
          <w:sz w:val="32"/>
        </w:rPr>
      </w:pPr>
    </w:p>
    <w:p>
      <w:pPr>
        <w:spacing w:line="480" w:lineRule="auto"/>
        <w:ind w:firstLine="0" w:firstLineChars="0"/>
        <w:jc w:val="left"/>
        <w:rPr>
          <w:rFonts w:hint="eastAsia" w:ascii="宋体" w:hAnsi="宋体" w:eastAsia="宋体" w:cs="宋体"/>
          <w:color w:val="auto"/>
          <w:sz w:val="24"/>
          <w:szCs w:val="24"/>
        </w:rPr>
      </w:pPr>
      <w:bookmarkStart w:id="0" w:name="_Toc192412209"/>
      <w:bookmarkStart w:id="1" w:name="_Toc192410264"/>
      <w:r>
        <w:rPr>
          <w:rFonts w:hint="eastAsia" w:ascii="宋体" w:hAnsi="宋体" w:eastAsia="宋体" w:cs="宋体"/>
          <w:color w:val="auto"/>
          <w:spacing w:val="37"/>
          <w:kern w:val="0"/>
          <w:sz w:val="24"/>
          <w:szCs w:val="24"/>
          <w:fitText w:val="1500" w:id="-1545964288"/>
        </w:rPr>
        <w:t>项目负责</w:t>
      </w:r>
      <w:r>
        <w:rPr>
          <w:rFonts w:hint="eastAsia" w:ascii="宋体" w:hAnsi="宋体" w:eastAsia="宋体" w:cs="宋体"/>
          <w:color w:val="auto"/>
          <w:spacing w:val="2"/>
          <w:kern w:val="0"/>
          <w:sz w:val="24"/>
          <w:szCs w:val="24"/>
          <w:fitText w:val="1500" w:id="-1545964288"/>
        </w:rPr>
        <w:t>人</w:t>
      </w:r>
      <w:r>
        <w:rPr>
          <w:rFonts w:hint="eastAsia" w:ascii="宋体" w:hAnsi="宋体" w:eastAsia="宋体" w:cs="宋体"/>
          <w:color w:val="auto"/>
          <w:sz w:val="24"/>
          <w:szCs w:val="24"/>
        </w:rPr>
        <w:t>：</w:t>
      </w:r>
      <w:bookmarkEnd w:id="0"/>
      <w:bookmarkEnd w:id="1"/>
      <w:bookmarkStart w:id="2" w:name="_Toc192412210"/>
      <w:bookmarkStart w:id="3" w:name="_Toc192410265"/>
      <w:r>
        <w:rPr>
          <w:rFonts w:hint="eastAsia" w:ascii="宋体" w:hAnsi="宋体" w:eastAsia="宋体" w:cs="宋体"/>
          <w:color w:val="auto"/>
          <w:sz w:val="24"/>
          <w:szCs w:val="24"/>
        </w:rPr>
        <w:t>宋连杰</w:t>
      </w:r>
    </w:p>
    <w:p>
      <w:pPr>
        <w:spacing w:line="480" w:lineRule="auto"/>
        <w:ind w:firstLine="0" w:firstLineChars="0"/>
        <w:jc w:val="left"/>
        <w:rPr>
          <w:rFonts w:hint="eastAsia" w:ascii="宋体" w:hAnsi="宋体" w:eastAsia="宋体" w:cs="宋体"/>
          <w:color w:val="auto"/>
          <w:sz w:val="24"/>
          <w:szCs w:val="24"/>
        </w:rPr>
      </w:pPr>
      <w:r>
        <w:rPr>
          <w:rFonts w:hint="eastAsia" w:ascii="宋体" w:hAnsi="宋体" w:eastAsia="宋体" w:cs="宋体"/>
          <w:color w:val="auto"/>
          <w:spacing w:val="90"/>
          <w:kern w:val="0"/>
          <w:sz w:val="24"/>
          <w:szCs w:val="24"/>
          <w:fitText w:val="1500" w:id="-1545964287"/>
        </w:rPr>
        <w:t>编制人</w:t>
      </w:r>
      <w:r>
        <w:rPr>
          <w:rFonts w:hint="eastAsia" w:ascii="宋体" w:hAnsi="宋体" w:eastAsia="宋体" w:cs="宋体"/>
          <w:color w:val="auto"/>
          <w:spacing w:val="0"/>
          <w:kern w:val="0"/>
          <w:sz w:val="24"/>
          <w:szCs w:val="24"/>
          <w:fitText w:val="1500" w:id="-1545964287"/>
        </w:rPr>
        <w:t>员</w:t>
      </w:r>
      <w:r>
        <w:rPr>
          <w:rFonts w:hint="eastAsia" w:ascii="宋体" w:hAnsi="宋体" w:eastAsia="宋体" w:cs="宋体"/>
          <w:color w:val="auto"/>
          <w:sz w:val="24"/>
          <w:szCs w:val="24"/>
        </w:rPr>
        <w:t>：</w:t>
      </w:r>
      <w:bookmarkEnd w:id="2"/>
      <w:bookmarkEnd w:id="3"/>
      <w:bookmarkStart w:id="4" w:name="_Toc192412212"/>
      <w:bookmarkStart w:id="5" w:name="_Toc192410267"/>
      <w:r>
        <w:rPr>
          <w:rFonts w:hint="eastAsia" w:ascii="宋体" w:hAnsi="宋体" w:eastAsia="宋体" w:cs="宋体"/>
          <w:color w:val="auto"/>
          <w:sz w:val="24"/>
          <w:szCs w:val="24"/>
        </w:rPr>
        <w:t>宋连杰  乔国成</w:t>
      </w:r>
    </w:p>
    <w:bookmarkEnd w:id="4"/>
    <w:bookmarkEnd w:id="5"/>
    <w:p>
      <w:pPr>
        <w:spacing w:line="480" w:lineRule="auto"/>
        <w:ind w:firstLine="0" w:firstLineChars="0"/>
        <w:jc w:val="left"/>
        <w:rPr>
          <w:rFonts w:hint="eastAsia" w:ascii="宋体" w:hAnsi="宋体" w:eastAsia="宋体" w:cs="宋体"/>
          <w:color w:val="auto"/>
          <w:sz w:val="24"/>
          <w:szCs w:val="24"/>
        </w:rPr>
      </w:pPr>
      <w:bookmarkStart w:id="6" w:name="_Toc192410270"/>
      <w:bookmarkStart w:id="7" w:name="_Toc192412215"/>
      <w:r>
        <w:rPr>
          <w:rFonts w:hint="eastAsia" w:ascii="宋体" w:hAnsi="宋体" w:eastAsia="宋体" w:cs="宋体"/>
          <w:color w:val="auto"/>
          <w:spacing w:val="54"/>
          <w:kern w:val="0"/>
          <w:sz w:val="24"/>
          <w:szCs w:val="24"/>
          <w:fitText w:val="1500" w:id="-1545964286"/>
        </w:rPr>
        <w:t xml:space="preserve">审    </w:t>
      </w:r>
      <w:r>
        <w:rPr>
          <w:rFonts w:hint="eastAsia" w:ascii="宋体" w:hAnsi="宋体" w:eastAsia="宋体" w:cs="宋体"/>
          <w:color w:val="auto"/>
          <w:spacing w:val="0"/>
          <w:kern w:val="0"/>
          <w:sz w:val="24"/>
          <w:szCs w:val="24"/>
          <w:fitText w:val="1500" w:id="-1545964286"/>
        </w:rPr>
        <w:t>核</w:t>
      </w:r>
      <w:r>
        <w:rPr>
          <w:rFonts w:hint="eastAsia" w:ascii="宋体" w:hAnsi="宋体" w:eastAsia="宋体" w:cs="宋体"/>
          <w:color w:val="auto"/>
          <w:sz w:val="24"/>
          <w:szCs w:val="24"/>
        </w:rPr>
        <w:t>：</w:t>
      </w:r>
      <w:bookmarkStart w:id="8" w:name="_Toc192410269"/>
      <w:bookmarkStart w:id="9" w:name="_Toc192412214"/>
      <w:r>
        <w:rPr>
          <w:rFonts w:hint="eastAsia" w:ascii="宋体" w:hAnsi="宋体" w:eastAsia="宋体" w:cs="宋体"/>
          <w:color w:val="auto"/>
          <w:sz w:val="24"/>
          <w:szCs w:val="24"/>
        </w:rPr>
        <w:t>王勇</w:t>
      </w:r>
    </w:p>
    <w:bookmarkEnd w:id="8"/>
    <w:bookmarkEnd w:id="9"/>
    <w:p>
      <w:pPr>
        <w:spacing w:line="480" w:lineRule="auto"/>
        <w:ind w:firstLine="0" w:firstLineChars="0"/>
        <w:jc w:val="left"/>
        <w:rPr>
          <w:rFonts w:hint="eastAsia" w:ascii="宋体" w:hAnsi="宋体" w:eastAsia="宋体" w:cs="宋体"/>
          <w:color w:val="auto"/>
          <w:sz w:val="24"/>
          <w:szCs w:val="24"/>
        </w:rPr>
      </w:pPr>
      <w:r>
        <w:rPr>
          <w:rFonts w:hint="eastAsia" w:ascii="宋体" w:hAnsi="宋体" w:eastAsia="宋体" w:cs="宋体"/>
          <w:color w:val="auto"/>
          <w:spacing w:val="90"/>
          <w:kern w:val="0"/>
          <w:sz w:val="24"/>
          <w:szCs w:val="24"/>
          <w:fitText w:val="1500" w:id="-1545964285"/>
        </w:rPr>
        <w:t>总工程</w:t>
      </w:r>
      <w:r>
        <w:rPr>
          <w:rFonts w:hint="eastAsia" w:ascii="宋体" w:hAnsi="宋体" w:eastAsia="宋体" w:cs="宋体"/>
          <w:color w:val="auto"/>
          <w:spacing w:val="0"/>
          <w:kern w:val="0"/>
          <w:sz w:val="24"/>
          <w:szCs w:val="24"/>
          <w:fitText w:val="1500" w:id="-1545964285"/>
        </w:rPr>
        <w:t>师</w:t>
      </w:r>
      <w:r>
        <w:rPr>
          <w:rFonts w:hint="eastAsia" w:ascii="宋体" w:hAnsi="宋体" w:eastAsia="宋体" w:cs="宋体"/>
          <w:color w:val="auto"/>
          <w:sz w:val="24"/>
          <w:szCs w:val="24"/>
        </w:rPr>
        <w:t>：王勇</w:t>
      </w:r>
    </w:p>
    <w:p>
      <w:pPr>
        <w:spacing w:line="480" w:lineRule="auto"/>
        <w:ind w:firstLine="0" w:firstLineChars="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法定代表人：</w:t>
      </w:r>
      <w:r>
        <w:rPr>
          <w:rFonts w:hint="eastAsia" w:ascii="宋体" w:hAnsi="宋体" w:eastAsia="宋体" w:cs="宋体"/>
          <w:color w:val="auto"/>
          <w:sz w:val="24"/>
          <w:szCs w:val="24"/>
          <w:lang w:val="en-US" w:eastAsia="zh-CN"/>
        </w:rPr>
        <w:t>王永燕</w:t>
      </w:r>
    </w:p>
    <w:p>
      <w:pPr>
        <w:ind w:firstLine="0" w:firstLineChars="0"/>
        <w:jc w:val="left"/>
        <w:rPr>
          <w:rFonts w:hint="eastAsia" w:ascii="宋体" w:hAnsi="宋体" w:eastAsia="宋体" w:cs="宋体"/>
          <w:b/>
          <w:color w:val="auto"/>
          <w:sz w:val="24"/>
          <w:szCs w:val="24"/>
        </w:rPr>
      </w:pPr>
      <w:r>
        <w:rPr>
          <w:rFonts w:hint="eastAsia" w:ascii="宋体" w:hAnsi="宋体" w:eastAsia="宋体" w:cs="宋体"/>
          <w:color w:val="auto"/>
          <w:spacing w:val="90"/>
          <w:kern w:val="0"/>
          <w:sz w:val="24"/>
          <w:szCs w:val="24"/>
          <w:fitText w:val="1500" w:id="-1545964032"/>
        </w:rPr>
        <w:t>编制单</w:t>
      </w:r>
      <w:r>
        <w:rPr>
          <w:rFonts w:hint="eastAsia" w:ascii="宋体" w:hAnsi="宋体" w:eastAsia="宋体" w:cs="宋体"/>
          <w:color w:val="auto"/>
          <w:spacing w:val="0"/>
          <w:kern w:val="0"/>
          <w:sz w:val="24"/>
          <w:szCs w:val="24"/>
          <w:fitText w:val="1500" w:id="-1545964032"/>
        </w:rPr>
        <w:t>位</w:t>
      </w:r>
      <w:r>
        <w:rPr>
          <w:rFonts w:hint="eastAsia" w:ascii="宋体" w:hAnsi="宋体" w:eastAsia="宋体" w:cs="宋体"/>
          <w:color w:val="auto"/>
          <w:sz w:val="24"/>
          <w:szCs w:val="24"/>
        </w:rPr>
        <w:t>：</w:t>
      </w:r>
      <w:bookmarkEnd w:id="6"/>
      <w:bookmarkEnd w:id="7"/>
      <w:bookmarkStart w:id="10" w:name="_Toc192412216"/>
      <w:bookmarkStart w:id="11" w:name="_Toc192410271"/>
      <w:r>
        <w:rPr>
          <w:rFonts w:hint="eastAsia" w:ascii="宋体" w:hAnsi="宋体" w:eastAsia="宋体" w:cs="宋体"/>
          <w:color w:val="auto"/>
          <w:sz w:val="24"/>
          <w:szCs w:val="24"/>
        </w:rPr>
        <w:t>元宝山区五家镇嘉润碳质泥岩有限责任公司</w:t>
      </w:r>
    </w:p>
    <w:p>
      <w:pPr>
        <w:ind w:firstLine="0" w:firstLineChars="0"/>
        <w:jc w:val="left"/>
        <w:rPr>
          <w:rFonts w:hint="eastAsia" w:ascii="宋体" w:hAnsi="宋体" w:eastAsia="宋体" w:cs="宋体"/>
          <w:color w:val="auto"/>
          <w:szCs w:val="24"/>
        </w:rPr>
      </w:pPr>
      <w:r>
        <w:rPr>
          <w:rFonts w:hint="eastAsia" w:ascii="宋体" w:hAnsi="宋体" w:eastAsia="宋体" w:cs="宋体"/>
          <w:color w:val="auto"/>
          <w:spacing w:val="90"/>
          <w:kern w:val="0"/>
          <w:sz w:val="24"/>
          <w:szCs w:val="24"/>
          <w:fitText w:val="1500" w:id="-1545964031"/>
        </w:rPr>
        <w:t>编制日</w:t>
      </w:r>
      <w:r>
        <w:rPr>
          <w:rFonts w:hint="eastAsia" w:ascii="宋体" w:hAnsi="宋体" w:eastAsia="宋体" w:cs="宋体"/>
          <w:color w:val="auto"/>
          <w:spacing w:val="0"/>
          <w:kern w:val="0"/>
          <w:sz w:val="24"/>
          <w:szCs w:val="24"/>
          <w:fitText w:val="1500" w:id="-1545964031"/>
        </w:rPr>
        <w:t>期</w:t>
      </w:r>
      <w:r>
        <w:rPr>
          <w:rFonts w:hint="eastAsia" w:ascii="宋体" w:hAnsi="宋体" w:eastAsia="宋体" w:cs="宋体"/>
          <w:color w:val="auto"/>
          <w:sz w:val="24"/>
          <w:szCs w:val="24"/>
        </w:rPr>
        <w:t>：</w:t>
      </w:r>
      <w:bookmarkEnd w:id="10"/>
      <w:bookmarkEnd w:id="11"/>
      <w:r>
        <w:rPr>
          <w:rFonts w:hint="eastAsia" w:ascii="宋体" w:hAnsi="宋体" w:eastAsia="宋体" w:cs="宋体"/>
          <w:color w:val="auto"/>
          <w:sz w:val="24"/>
          <w:szCs w:val="24"/>
        </w:rPr>
        <w:t>二零二</w:t>
      </w:r>
      <w:r>
        <w:rPr>
          <w:rFonts w:hint="eastAsia" w:ascii="宋体" w:hAnsi="宋体" w:eastAsia="宋体" w:cs="宋体"/>
          <w:color w:val="auto"/>
          <w:sz w:val="24"/>
          <w:szCs w:val="24"/>
          <w:lang w:val="en-US" w:eastAsia="zh-CN"/>
        </w:rPr>
        <w:t>四</w:t>
      </w:r>
      <w:r>
        <w:rPr>
          <w:rFonts w:hint="eastAsia" w:ascii="宋体" w:hAnsi="宋体" w:eastAsia="宋体" w:cs="宋体"/>
          <w:color w:val="auto"/>
          <w:sz w:val="24"/>
          <w:szCs w:val="24"/>
        </w:rPr>
        <w:t>年</w:t>
      </w:r>
      <w:r>
        <w:rPr>
          <w:rFonts w:hint="eastAsia" w:ascii="宋体" w:hAnsi="宋体" w:eastAsia="宋体" w:cs="宋体"/>
          <w:color w:val="auto"/>
          <w:sz w:val="24"/>
          <w:szCs w:val="24"/>
          <w:lang w:eastAsia="zh-CN"/>
        </w:rPr>
        <w:t>三</w:t>
      </w:r>
      <w:r>
        <w:rPr>
          <w:rFonts w:hint="eastAsia" w:ascii="宋体" w:hAnsi="宋体" w:eastAsia="宋体" w:cs="宋体"/>
          <w:color w:val="auto"/>
          <w:sz w:val="24"/>
          <w:szCs w:val="24"/>
        </w:rPr>
        <w:t>月</w:t>
      </w:r>
    </w:p>
    <w:p>
      <w:pPr>
        <w:rPr>
          <w:rFonts w:hint="eastAsia" w:ascii="宋体" w:hAnsi="宋体" w:eastAsia="宋体" w:cs="宋体"/>
          <w:b/>
          <w:color w:val="auto"/>
          <w:sz w:val="28"/>
          <w:szCs w:val="28"/>
        </w:rPr>
      </w:pPr>
      <w:r>
        <w:rPr>
          <w:rFonts w:hint="eastAsia" w:ascii="宋体" w:hAnsi="宋体" w:eastAsia="宋体" w:cs="宋体"/>
          <w:b/>
          <w:color w:val="auto"/>
          <w:sz w:val="28"/>
          <w:szCs w:val="28"/>
        </w:rPr>
        <w:br w:type="page"/>
      </w:r>
    </w:p>
    <w:p>
      <w:pPr>
        <w:ind w:left="0" w:leftChars="0" w:firstLine="0" w:firstLineChars="0"/>
        <w:jc w:val="center"/>
        <w:rPr>
          <w:rFonts w:hint="eastAsia" w:ascii="宋体" w:hAnsi="宋体" w:eastAsia="宋体" w:cs="宋体"/>
          <w:b/>
          <w:color w:val="auto"/>
          <w:sz w:val="28"/>
          <w:szCs w:val="28"/>
        </w:rPr>
      </w:pPr>
      <w:r>
        <w:rPr>
          <w:rFonts w:hint="eastAsia" w:ascii="宋体" w:hAnsi="宋体" w:eastAsia="宋体" w:cs="宋体"/>
          <w:b/>
          <w:color w:val="auto"/>
          <w:sz w:val="32"/>
          <w:szCs w:val="32"/>
        </w:rPr>
        <w:t>目  录</w:t>
      </w:r>
    </w:p>
    <w:p>
      <w:pPr>
        <w:pStyle w:val="58"/>
        <w:keepNext w:val="0"/>
        <w:keepLines w:val="0"/>
        <w:pageBreakBefore w:val="0"/>
        <w:widowControl w:val="0"/>
        <w:tabs>
          <w:tab w:val="right" w:leader="dot" w:pos="8312"/>
        </w:tabs>
        <w:kinsoku/>
        <w:wordWrap/>
        <w:overflowPunct/>
        <w:topLinePunct w:val="0"/>
        <w:autoSpaceDE/>
        <w:autoSpaceDN/>
        <w:bidi w:val="0"/>
        <w:adjustRightInd/>
        <w:snapToGrid/>
        <w:spacing w:line="384" w:lineRule="auto"/>
        <w:textAlignment w:val="auto"/>
        <w:rPr>
          <w:rFonts w:hint="eastAsia" w:ascii="宋体" w:hAnsi="宋体" w:eastAsia="宋体" w:cs="宋体"/>
          <w:color w:val="auto"/>
        </w:rPr>
      </w:pPr>
      <w:r>
        <w:rPr>
          <w:rFonts w:hint="eastAsia" w:ascii="宋体" w:hAnsi="宋体" w:eastAsia="宋体" w:cs="宋体"/>
          <w:bCs w:val="0"/>
          <w:caps w:val="0"/>
          <w:color w:val="auto"/>
          <w:sz w:val="28"/>
          <w:szCs w:val="28"/>
        </w:rPr>
        <w:fldChar w:fldCharType="begin"/>
      </w:r>
      <w:r>
        <w:rPr>
          <w:rFonts w:hint="eastAsia" w:ascii="宋体" w:hAnsi="宋体" w:eastAsia="宋体" w:cs="宋体"/>
          <w:bCs w:val="0"/>
          <w:caps w:val="0"/>
          <w:color w:val="auto"/>
          <w:sz w:val="28"/>
          <w:szCs w:val="28"/>
        </w:rPr>
        <w:instrText xml:space="preserve"> TOC \o "1-2" \h \z \u </w:instrText>
      </w:r>
      <w:r>
        <w:rPr>
          <w:rFonts w:hint="eastAsia" w:ascii="宋体" w:hAnsi="宋体" w:eastAsia="宋体" w:cs="宋体"/>
          <w:bCs w:val="0"/>
          <w:caps w:val="0"/>
          <w:color w:val="auto"/>
          <w:sz w:val="28"/>
          <w:szCs w:val="28"/>
        </w:rPr>
        <w:fldChar w:fldCharType="separate"/>
      </w:r>
      <w:r>
        <w:rPr>
          <w:rFonts w:hint="eastAsia" w:ascii="宋体" w:hAnsi="宋体" w:eastAsia="宋体" w:cs="宋体"/>
          <w:bCs w:val="0"/>
          <w:caps w:val="0"/>
          <w:color w:val="auto"/>
          <w:szCs w:val="28"/>
        </w:rPr>
        <w:fldChar w:fldCharType="begin"/>
      </w:r>
      <w:r>
        <w:rPr>
          <w:rFonts w:hint="eastAsia" w:ascii="宋体" w:hAnsi="宋体" w:eastAsia="宋体" w:cs="宋体"/>
          <w:bCs w:val="0"/>
          <w:caps w:val="0"/>
          <w:color w:val="auto"/>
          <w:szCs w:val="28"/>
        </w:rPr>
        <w:instrText xml:space="preserve"> HYPERLINK \l _Toc25381 </w:instrText>
      </w:r>
      <w:r>
        <w:rPr>
          <w:rFonts w:hint="eastAsia" w:ascii="宋体" w:hAnsi="宋体" w:eastAsia="宋体" w:cs="宋体"/>
          <w:bCs w:val="0"/>
          <w:caps w:val="0"/>
          <w:color w:val="auto"/>
          <w:szCs w:val="28"/>
        </w:rPr>
        <w:fldChar w:fldCharType="separate"/>
      </w:r>
      <w:r>
        <w:rPr>
          <w:rFonts w:hint="eastAsia" w:ascii="宋体" w:hAnsi="宋体" w:eastAsia="宋体" w:cs="宋体"/>
          <w:color w:val="auto"/>
          <w:szCs w:val="32"/>
        </w:rPr>
        <w:t>一、矿山基本情况</w:t>
      </w:r>
      <w:r>
        <w:rPr>
          <w:rFonts w:hint="eastAsia" w:ascii="宋体" w:hAnsi="宋体" w:eastAsia="宋体" w:cs="宋体"/>
          <w:color w:val="auto"/>
        </w:rPr>
        <w:tab/>
      </w:r>
      <w:r>
        <w:rPr>
          <w:rFonts w:hint="eastAsia" w:ascii="宋体" w:hAnsi="宋体" w:eastAsia="宋体" w:cs="宋体"/>
          <w:color w:val="auto"/>
          <w:lang w:val="en-US" w:eastAsia="zh-CN"/>
        </w:rPr>
        <w:t>1</w:t>
      </w:r>
      <w:r>
        <w:rPr>
          <w:rFonts w:hint="eastAsia" w:ascii="宋体" w:hAnsi="宋体" w:eastAsia="宋体" w:cs="宋体"/>
          <w:bCs w:val="0"/>
          <w:caps w:val="0"/>
          <w:color w:val="auto"/>
          <w:szCs w:val="28"/>
        </w:rPr>
        <w:fldChar w:fldCharType="end"/>
      </w:r>
    </w:p>
    <w:p>
      <w:pPr>
        <w:pStyle w:val="58"/>
        <w:keepNext w:val="0"/>
        <w:keepLines w:val="0"/>
        <w:pageBreakBefore w:val="0"/>
        <w:widowControl w:val="0"/>
        <w:tabs>
          <w:tab w:val="right" w:leader="dot" w:pos="8312"/>
        </w:tabs>
        <w:kinsoku/>
        <w:wordWrap/>
        <w:overflowPunct/>
        <w:topLinePunct w:val="0"/>
        <w:autoSpaceDE/>
        <w:autoSpaceDN/>
        <w:bidi w:val="0"/>
        <w:adjustRightInd/>
        <w:snapToGrid/>
        <w:spacing w:line="384" w:lineRule="auto"/>
        <w:textAlignment w:val="auto"/>
        <w:rPr>
          <w:rFonts w:hint="eastAsia" w:ascii="宋体" w:hAnsi="宋体" w:eastAsia="宋体" w:cs="宋体"/>
          <w:color w:val="auto"/>
        </w:rPr>
      </w:pPr>
      <w:r>
        <w:rPr>
          <w:rFonts w:hint="eastAsia" w:ascii="宋体" w:hAnsi="宋体" w:eastAsia="宋体" w:cs="宋体"/>
          <w:bCs/>
          <w:caps/>
          <w:color w:val="auto"/>
          <w:szCs w:val="28"/>
        </w:rPr>
        <w:fldChar w:fldCharType="begin"/>
      </w:r>
      <w:r>
        <w:rPr>
          <w:rFonts w:hint="eastAsia" w:ascii="宋体" w:hAnsi="宋体" w:eastAsia="宋体" w:cs="宋体"/>
          <w:bCs/>
          <w:caps/>
          <w:color w:val="auto"/>
          <w:szCs w:val="28"/>
        </w:rPr>
        <w:instrText xml:space="preserve"> HYPERLINK \l _Toc22088 </w:instrText>
      </w:r>
      <w:r>
        <w:rPr>
          <w:rFonts w:hint="eastAsia" w:ascii="宋体" w:hAnsi="宋体" w:eastAsia="宋体" w:cs="宋体"/>
          <w:bCs/>
          <w:caps/>
          <w:color w:val="auto"/>
          <w:szCs w:val="28"/>
        </w:rPr>
        <w:fldChar w:fldCharType="separate"/>
      </w:r>
      <w:r>
        <w:rPr>
          <w:rFonts w:hint="eastAsia" w:ascii="宋体" w:hAnsi="宋体" w:eastAsia="宋体" w:cs="宋体"/>
          <w:color w:val="auto"/>
          <w:szCs w:val="32"/>
        </w:rPr>
        <w:t>二、矿山地质环境治理方案的编制与执行情况</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_Toc22088 \h </w:instrText>
      </w:r>
      <w:r>
        <w:rPr>
          <w:rFonts w:hint="eastAsia" w:ascii="宋体" w:hAnsi="宋体" w:eastAsia="宋体" w:cs="宋体"/>
          <w:color w:val="auto"/>
        </w:rPr>
        <w:fldChar w:fldCharType="separate"/>
      </w:r>
      <w:r>
        <w:rPr>
          <w:rFonts w:hint="eastAsia" w:ascii="宋体" w:hAnsi="宋体" w:eastAsia="宋体" w:cs="宋体"/>
          <w:color w:val="auto"/>
        </w:rPr>
        <w:t>2</w:t>
      </w:r>
      <w:r>
        <w:rPr>
          <w:rFonts w:hint="eastAsia" w:ascii="宋体" w:hAnsi="宋体" w:eastAsia="宋体" w:cs="宋体"/>
          <w:color w:val="auto"/>
        </w:rPr>
        <w:fldChar w:fldCharType="end"/>
      </w:r>
      <w:r>
        <w:rPr>
          <w:rFonts w:hint="eastAsia" w:ascii="宋体" w:hAnsi="宋体" w:eastAsia="宋体" w:cs="宋体"/>
          <w:bCs/>
          <w:caps/>
          <w:color w:val="auto"/>
          <w:szCs w:val="28"/>
        </w:rPr>
        <w:fldChar w:fldCharType="end"/>
      </w:r>
    </w:p>
    <w:p>
      <w:pPr>
        <w:pStyle w:val="73"/>
        <w:keepNext w:val="0"/>
        <w:keepLines w:val="0"/>
        <w:pageBreakBefore w:val="0"/>
        <w:widowControl w:val="0"/>
        <w:tabs>
          <w:tab w:val="right" w:leader="dot" w:pos="8312"/>
        </w:tabs>
        <w:kinsoku/>
        <w:wordWrap/>
        <w:overflowPunct/>
        <w:topLinePunct w:val="0"/>
        <w:autoSpaceDE/>
        <w:autoSpaceDN/>
        <w:bidi w:val="0"/>
        <w:adjustRightInd/>
        <w:snapToGrid/>
        <w:spacing w:line="384" w:lineRule="auto"/>
        <w:textAlignment w:val="auto"/>
        <w:rPr>
          <w:rFonts w:hint="eastAsia" w:ascii="宋体" w:hAnsi="宋体" w:eastAsia="宋体" w:cs="宋体"/>
          <w:color w:val="auto"/>
        </w:rPr>
      </w:pPr>
      <w:r>
        <w:rPr>
          <w:rFonts w:hint="eastAsia" w:ascii="宋体" w:hAnsi="宋体" w:eastAsia="宋体" w:cs="宋体"/>
          <w:bCs/>
          <w:caps/>
          <w:color w:val="auto"/>
          <w:szCs w:val="28"/>
        </w:rPr>
        <w:fldChar w:fldCharType="begin"/>
      </w:r>
      <w:r>
        <w:rPr>
          <w:rFonts w:hint="eastAsia" w:ascii="宋体" w:hAnsi="宋体" w:eastAsia="宋体" w:cs="宋体"/>
          <w:bCs/>
          <w:caps/>
          <w:color w:val="auto"/>
          <w:szCs w:val="28"/>
        </w:rPr>
        <w:instrText xml:space="preserve"> HYPERLINK \l _Toc20537 </w:instrText>
      </w:r>
      <w:r>
        <w:rPr>
          <w:rFonts w:hint="eastAsia" w:ascii="宋体" w:hAnsi="宋体" w:eastAsia="宋体" w:cs="宋体"/>
          <w:bCs/>
          <w:caps/>
          <w:color w:val="auto"/>
          <w:szCs w:val="28"/>
        </w:rPr>
        <w:fldChar w:fldCharType="separate"/>
      </w:r>
      <w:r>
        <w:rPr>
          <w:rFonts w:hint="eastAsia" w:ascii="宋体" w:hAnsi="宋体" w:eastAsia="宋体" w:cs="宋体"/>
          <w:color w:val="auto"/>
          <w:szCs w:val="28"/>
        </w:rPr>
        <w:t>（一）方案编制概况</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_Toc20537 \h </w:instrText>
      </w:r>
      <w:r>
        <w:rPr>
          <w:rFonts w:hint="eastAsia" w:ascii="宋体" w:hAnsi="宋体" w:eastAsia="宋体" w:cs="宋体"/>
          <w:color w:val="auto"/>
        </w:rPr>
        <w:fldChar w:fldCharType="separate"/>
      </w:r>
      <w:r>
        <w:rPr>
          <w:rFonts w:hint="eastAsia" w:ascii="宋体" w:hAnsi="宋体" w:eastAsia="宋体" w:cs="宋体"/>
          <w:color w:val="auto"/>
        </w:rPr>
        <w:t>2</w:t>
      </w:r>
      <w:r>
        <w:rPr>
          <w:rFonts w:hint="eastAsia" w:ascii="宋体" w:hAnsi="宋体" w:eastAsia="宋体" w:cs="宋体"/>
          <w:color w:val="auto"/>
        </w:rPr>
        <w:fldChar w:fldCharType="end"/>
      </w:r>
      <w:r>
        <w:rPr>
          <w:rFonts w:hint="eastAsia" w:ascii="宋体" w:hAnsi="宋体" w:eastAsia="宋体" w:cs="宋体"/>
          <w:bCs/>
          <w:caps/>
          <w:color w:val="auto"/>
          <w:szCs w:val="28"/>
        </w:rPr>
        <w:fldChar w:fldCharType="end"/>
      </w:r>
    </w:p>
    <w:p>
      <w:pPr>
        <w:pStyle w:val="73"/>
        <w:keepNext w:val="0"/>
        <w:keepLines w:val="0"/>
        <w:pageBreakBefore w:val="0"/>
        <w:widowControl w:val="0"/>
        <w:tabs>
          <w:tab w:val="right" w:leader="dot" w:pos="8312"/>
        </w:tabs>
        <w:kinsoku/>
        <w:wordWrap/>
        <w:overflowPunct/>
        <w:topLinePunct w:val="0"/>
        <w:autoSpaceDE/>
        <w:autoSpaceDN/>
        <w:bidi w:val="0"/>
        <w:adjustRightInd/>
        <w:snapToGrid/>
        <w:spacing w:line="384" w:lineRule="auto"/>
        <w:textAlignment w:val="auto"/>
        <w:rPr>
          <w:rFonts w:hint="eastAsia" w:ascii="宋体" w:hAnsi="宋体" w:eastAsia="宋体" w:cs="宋体"/>
          <w:color w:val="auto"/>
        </w:rPr>
      </w:pPr>
      <w:r>
        <w:rPr>
          <w:rFonts w:hint="eastAsia" w:ascii="宋体" w:hAnsi="宋体" w:eastAsia="宋体" w:cs="宋体"/>
          <w:bCs/>
          <w:caps/>
          <w:color w:val="auto"/>
          <w:szCs w:val="28"/>
        </w:rPr>
        <w:fldChar w:fldCharType="begin"/>
      </w:r>
      <w:r>
        <w:rPr>
          <w:rFonts w:hint="eastAsia" w:ascii="宋体" w:hAnsi="宋体" w:eastAsia="宋体" w:cs="宋体"/>
          <w:bCs/>
          <w:caps/>
          <w:color w:val="auto"/>
          <w:szCs w:val="28"/>
        </w:rPr>
        <w:instrText xml:space="preserve"> HYPERLINK \l _Toc17867 </w:instrText>
      </w:r>
      <w:r>
        <w:rPr>
          <w:rFonts w:hint="eastAsia" w:ascii="宋体" w:hAnsi="宋体" w:eastAsia="宋体" w:cs="宋体"/>
          <w:bCs/>
          <w:caps/>
          <w:color w:val="auto"/>
          <w:szCs w:val="28"/>
        </w:rPr>
        <w:fldChar w:fldCharType="separate"/>
      </w:r>
      <w:r>
        <w:rPr>
          <w:rFonts w:hint="eastAsia" w:ascii="宋体" w:hAnsi="宋体" w:eastAsia="宋体" w:cs="宋体"/>
          <w:color w:val="auto"/>
          <w:szCs w:val="28"/>
        </w:rPr>
        <w:t>（二）治理方案规划的近期治理工程内容</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_Toc17867 \h </w:instrText>
      </w:r>
      <w:r>
        <w:rPr>
          <w:rFonts w:hint="eastAsia" w:ascii="宋体" w:hAnsi="宋体" w:eastAsia="宋体" w:cs="宋体"/>
          <w:color w:val="auto"/>
        </w:rPr>
        <w:fldChar w:fldCharType="separate"/>
      </w:r>
      <w:r>
        <w:rPr>
          <w:rFonts w:hint="eastAsia" w:ascii="宋体" w:hAnsi="宋体" w:eastAsia="宋体" w:cs="宋体"/>
          <w:color w:val="auto"/>
        </w:rPr>
        <w:t>2</w:t>
      </w:r>
      <w:r>
        <w:rPr>
          <w:rFonts w:hint="eastAsia" w:ascii="宋体" w:hAnsi="宋体" w:eastAsia="宋体" w:cs="宋体"/>
          <w:color w:val="auto"/>
        </w:rPr>
        <w:fldChar w:fldCharType="end"/>
      </w:r>
      <w:r>
        <w:rPr>
          <w:rFonts w:hint="eastAsia" w:ascii="宋体" w:hAnsi="宋体" w:eastAsia="宋体" w:cs="宋体"/>
          <w:bCs/>
          <w:caps/>
          <w:color w:val="auto"/>
          <w:szCs w:val="28"/>
        </w:rPr>
        <w:fldChar w:fldCharType="end"/>
      </w:r>
    </w:p>
    <w:p>
      <w:pPr>
        <w:pStyle w:val="73"/>
        <w:keepNext w:val="0"/>
        <w:keepLines w:val="0"/>
        <w:pageBreakBefore w:val="0"/>
        <w:widowControl w:val="0"/>
        <w:tabs>
          <w:tab w:val="right" w:leader="dot" w:pos="8312"/>
        </w:tabs>
        <w:kinsoku/>
        <w:wordWrap/>
        <w:overflowPunct/>
        <w:topLinePunct w:val="0"/>
        <w:autoSpaceDE/>
        <w:autoSpaceDN/>
        <w:bidi w:val="0"/>
        <w:adjustRightInd/>
        <w:snapToGrid/>
        <w:spacing w:line="384" w:lineRule="auto"/>
        <w:textAlignment w:val="auto"/>
        <w:rPr>
          <w:rFonts w:hint="eastAsia" w:ascii="宋体" w:hAnsi="宋体" w:eastAsia="宋体" w:cs="宋体"/>
          <w:color w:val="auto"/>
        </w:rPr>
      </w:pPr>
      <w:r>
        <w:rPr>
          <w:rFonts w:hint="eastAsia" w:ascii="宋体" w:hAnsi="宋体" w:eastAsia="宋体" w:cs="宋体"/>
          <w:bCs/>
          <w:caps/>
          <w:color w:val="auto"/>
          <w:szCs w:val="28"/>
        </w:rPr>
        <w:fldChar w:fldCharType="begin"/>
      </w:r>
      <w:r>
        <w:rPr>
          <w:rFonts w:hint="eastAsia" w:ascii="宋体" w:hAnsi="宋体" w:eastAsia="宋体" w:cs="宋体"/>
          <w:bCs/>
          <w:caps/>
          <w:color w:val="auto"/>
          <w:szCs w:val="28"/>
        </w:rPr>
        <w:instrText xml:space="preserve"> HYPERLINK \l _Toc25235 </w:instrText>
      </w:r>
      <w:r>
        <w:rPr>
          <w:rFonts w:hint="eastAsia" w:ascii="宋体" w:hAnsi="宋体" w:eastAsia="宋体" w:cs="宋体"/>
          <w:bCs/>
          <w:caps/>
          <w:color w:val="auto"/>
          <w:szCs w:val="28"/>
        </w:rPr>
        <w:fldChar w:fldCharType="separate"/>
      </w:r>
      <w:r>
        <w:rPr>
          <w:rFonts w:hint="eastAsia" w:ascii="宋体" w:hAnsi="宋体" w:eastAsia="宋体" w:cs="宋体"/>
          <w:color w:val="auto"/>
          <w:szCs w:val="28"/>
        </w:rPr>
        <w:t>（三）矿山地质环境治理方案执行情况</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_Toc25235 \h </w:instrText>
      </w:r>
      <w:r>
        <w:rPr>
          <w:rFonts w:hint="eastAsia" w:ascii="宋体" w:hAnsi="宋体" w:eastAsia="宋体" w:cs="宋体"/>
          <w:color w:val="auto"/>
        </w:rPr>
        <w:fldChar w:fldCharType="separate"/>
      </w:r>
      <w:r>
        <w:rPr>
          <w:rFonts w:hint="eastAsia" w:ascii="宋体" w:hAnsi="宋体" w:eastAsia="宋体" w:cs="宋体"/>
          <w:color w:val="auto"/>
        </w:rPr>
        <w:t>4</w:t>
      </w:r>
      <w:r>
        <w:rPr>
          <w:rFonts w:hint="eastAsia" w:ascii="宋体" w:hAnsi="宋体" w:eastAsia="宋体" w:cs="宋体"/>
          <w:color w:val="auto"/>
        </w:rPr>
        <w:fldChar w:fldCharType="end"/>
      </w:r>
      <w:r>
        <w:rPr>
          <w:rFonts w:hint="eastAsia" w:ascii="宋体" w:hAnsi="宋体" w:eastAsia="宋体" w:cs="宋体"/>
          <w:bCs/>
          <w:caps/>
          <w:color w:val="auto"/>
          <w:szCs w:val="28"/>
        </w:rPr>
        <w:fldChar w:fldCharType="end"/>
      </w:r>
    </w:p>
    <w:p>
      <w:pPr>
        <w:pStyle w:val="58"/>
        <w:keepNext w:val="0"/>
        <w:keepLines w:val="0"/>
        <w:pageBreakBefore w:val="0"/>
        <w:widowControl w:val="0"/>
        <w:tabs>
          <w:tab w:val="right" w:leader="dot" w:pos="8312"/>
        </w:tabs>
        <w:kinsoku/>
        <w:wordWrap/>
        <w:overflowPunct/>
        <w:topLinePunct w:val="0"/>
        <w:autoSpaceDE/>
        <w:autoSpaceDN/>
        <w:bidi w:val="0"/>
        <w:adjustRightInd/>
        <w:snapToGrid/>
        <w:spacing w:line="384" w:lineRule="auto"/>
        <w:textAlignment w:val="auto"/>
        <w:rPr>
          <w:rFonts w:hint="eastAsia" w:ascii="宋体" w:hAnsi="宋体" w:eastAsia="宋体" w:cs="宋体"/>
          <w:color w:val="auto"/>
        </w:rPr>
      </w:pPr>
      <w:r>
        <w:rPr>
          <w:rFonts w:hint="eastAsia" w:ascii="宋体" w:hAnsi="宋体" w:eastAsia="宋体" w:cs="宋体"/>
          <w:bCs/>
          <w:caps/>
          <w:color w:val="auto"/>
          <w:szCs w:val="28"/>
        </w:rPr>
        <w:fldChar w:fldCharType="begin"/>
      </w:r>
      <w:r>
        <w:rPr>
          <w:rFonts w:hint="eastAsia" w:ascii="宋体" w:hAnsi="宋体" w:eastAsia="宋体" w:cs="宋体"/>
          <w:bCs/>
          <w:caps/>
          <w:color w:val="auto"/>
          <w:szCs w:val="28"/>
        </w:rPr>
        <w:instrText xml:space="preserve"> HYPERLINK \l _Toc23731 </w:instrText>
      </w:r>
      <w:r>
        <w:rPr>
          <w:rFonts w:hint="eastAsia" w:ascii="宋体" w:hAnsi="宋体" w:eastAsia="宋体" w:cs="宋体"/>
          <w:bCs/>
          <w:caps/>
          <w:color w:val="auto"/>
          <w:szCs w:val="28"/>
        </w:rPr>
        <w:fldChar w:fldCharType="separate"/>
      </w:r>
      <w:r>
        <w:rPr>
          <w:rFonts w:hint="eastAsia" w:ascii="宋体" w:hAnsi="宋体" w:eastAsia="宋体" w:cs="宋体"/>
          <w:color w:val="auto"/>
          <w:szCs w:val="32"/>
        </w:rPr>
        <w:t>三、本年度矿山生产计划</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_Toc23731 \h </w:instrText>
      </w:r>
      <w:r>
        <w:rPr>
          <w:rFonts w:hint="eastAsia" w:ascii="宋体" w:hAnsi="宋体" w:eastAsia="宋体" w:cs="宋体"/>
          <w:color w:val="auto"/>
        </w:rPr>
        <w:fldChar w:fldCharType="separate"/>
      </w:r>
      <w:r>
        <w:rPr>
          <w:rFonts w:hint="eastAsia" w:ascii="宋体" w:hAnsi="宋体" w:eastAsia="宋体" w:cs="宋体"/>
          <w:color w:val="auto"/>
        </w:rPr>
        <w:t>6</w:t>
      </w:r>
      <w:r>
        <w:rPr>
          <w:rFonts w:hint="eastAsia" w:ascii="宋体" w:hAnsi="宋体" w:eastAsia="宋体" w:cs="宋体"/>
          <w:color w:val="auto"/>
        </w:rPr>
        <w:fldChar w:fldCharType="end"/>
      </w:r>
      <w:r>
        <w:rPr>
          <w:rFonts w:hint="eastAsia" w:ascii="宋体" w:hAnsi="宋体" w:eastAsia="宋体" w:cs="宋体"/>
          <w:bCs/>
          <w:caps/>
          <w:color w:val="auto"/>
          <w:szCs w:val="28"/>
        </w:rPr>
        <w:fldChar w:fldCharType="end"/>
      </w:r>
    </w:p>
    <w:p>
      <w:pPr>
        <w:pStyle w:val="73"/>
        <w:keepNext w:val="0"/>
        <w:keepLines w:val="0"/>
        <w:pageBreakBefore w:val="0"/>
        <w:widowControl w:val="0"/>
        <w:tabs>
          <w:tab w:val="right" w:leader="dot" w:pos="8312"/>
        </w:tabs>
        <w:kinsoku/>
        <w:wordWrap/>
        <w:overflowPunct/>
        <w:topLinePunct w:val="0"/>
        <w:autoSpaceDE/>
        <w:autoSpaceDN/>
        <w:bidi w:val="0"/>
        <w:adjustRightInd/>
        <w:snapToGrid/>
        <w:spacing w:line="384" w:lineRule="auto"/>
        <w:textAlignment w:val="auto"/>
        <w:rPr>
          <w:rFonts w:hint="eastAsia" w:ascii="宋体" w:hAnsi="宋体" w:eastAsia="宋体" w:cs="宋体"/>
          <w:color w:val="auto"/>
        </w:rPr>
      </w:pPr>
      <w:r>
        <w:rPr>
          <w:rFonts w:hint="eastAsia" w:ascii="宋体" w:hAnsi="宋体" w:eastAsia="宋体" w:cs="宋体"/>
          <w:bCs/>
          <w:caps/>
          <w:color w:val="auto"/>
          <w:szCs w:val="28"/>
        </w:rPr>
        <w:fldChar w:fldCharType="begin"/>
      </w:r>
      <w:r>
        <w:rPr>
          <w:rFonts w:hint="eastAsia" w:ascii="宋体" w:hAnsi="宋体" w:eastAsia="宋体" w:cs="宋体"/>
          <w:bCs/>
          <w:caps/>
          <w:color w:val="auto"/>
          <w:szCs w:val="28"/>
        </w:rPr>
        <w:instrText xml:space="preserve"> HYPERLINK \l _Toc25116 </w:instrText>
      </w:r>
      <w:r>
        <w:rPr>
          <w:rFonts w:hint="eastAsia" w:ascii="宋体" w:hAnsi="宋体" w:eastAsia="宋体" w:cs="宋体"/>
          <w:bCs/>
          <w:caps/>
          <w:color w:val="auto"/>
          <w:szCs w:val="28"/>
        </w:rPr>
        <w:fldChar w:fldCharType="separate"/>
      </w:r>
      <w:r>
        <w:rPr>
          <w:rFonts w:hint="eastAsia" w:ascii="宋体" w:hAnsi="宋体" w:eastAsia="宋体" w:cs="宋体"/>
          <w:bCs/>
          <w:color w:val="auto"/>
          <w:szCs w:val="28"/>
        </w:rPr>
        <w:t>（一）本年度的主要生产指标计划</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_Toc25116 \h </w:instrText>
      </w:r>
      <w:r>
        <w:rPr>
          <w:rFonts w:hint="eastAsia" w:ascii="宋体" w:hAnsi="宋体" w:eastAsia="宋体" w:cs="宋体"/>
          <w:color w:val="auto"/>
        </w:rPr>
        <w:fldChar w:fldCharType="separate"/>
      </w:r>
      <w:r>
        <w:rPr>
          <w:rFonts w:hint="eastAsia" w:ascii="宋体" w:hAnsi="宋体" w:eastAsia="宋体" w:cs="宋体"/>
          <w:color w:val="auto"/>
        </w:rPr>
        <w:t>6</w:t>
      </w:r>
      <w:r>
        <w:rPr>
          <w:rFonts w:hint="eastAsia" w:ascii="宋体" w:hAnsi="宋体" w:eastAsia="宋体" w:cs="宋体"/>
          <w:color w:val="auto"/>
        </w:rPr>
        <w:fldChar w:fldCharType="end"/>
      </w:r>
      <w:r>
        <w:rPr>
          <w:rFonts w:hint="eastAsia" w:ascii="宋体" w:hAnsi="宋体" w:eastAsia="宋体" w:cs="宋体"/>
          <w:bCs/>
          <w:caps/>
          <w:color w:val="auto"/>
          <w:szCs w:val="28"/>
        </w:rPr>
        <w:fldChar w:fldCharType="end"/>
      </w:r>
    </w:p>
    <w:p>
      <w:pPr>
        <w:pStyle w:val="73"/>
        <w:keepNext w:val="0"/>
        <w:keepLines w:val="0"/>
        <w:pageBreakBefore w:val="0"/>
        <w:widowControl w:val="0"/>
        <w:tabs>
          <w:tab w:val="right" w:leader="dot" w:pos="8312"/>
        </w:tabs>
        <w:kinsoku/>
        <w:wordWrap/>
        <w:overflowPunct/>
        <w:topLinePunct w:val="0"/>
        <w:autoSpaceDE/>
        <w:autoSpaceDN/>
        <w:bidi w:val="0"/>
        <w:adjustRightInd/>
        <w:snapToGrid/>
        <w:spacing w:line="384" w:lineRule="auto"/>
        <w:textAlignment w:val="auto"/>
        <w:rPr>
          <w:rFonts w:hint="eastAsia" w:ascii="宋体" w:hAnsi="宋体" w:eastAsia="宋体" w:cs="宋体"/>
          <w:color w:val="auto"/>
        </w:rPr>
      </w:pPr>
      <w:r>
        <w:rPr>
          <w:rFonts w:hint="eastAsia" w:ascii="宋体" w:hAnsi="宋体" w:eastAsia="宋体" w:cs="宋体"/>
          <w:bCs/>
          <w:caps/>
          <w:color w:val="auto"/>
          <w:szCs w:val="28"/>
        </w:rPr>
        <w:fldChar w:fldCharType="begin"/>
      </w:r>
      <w:r>
        <w:rPr>
          <w:rFonts w:hint="eastAsia" w:ascii="宋体" w:hAnsi="宋体" w:eastAsia="宋体" w:cs="宋体"/>
          <w:bCs/>
          <w:caps/>
          <w:color w:val="auto"/>
          <w:szCs w:val="28"/>
        </w:rPr>
        <w:instrText xml:space="preserve"> HYPERLINK \l _Toc1782 </w:instrText>
      </w:r>
      <w:r>
        <w:rPr>
          <w:rFonts w:hint="eastAsia" w:ascii="宋体" w:hAnsi="宋体" w:eastAsia="宋体" w:cs="宋体"/>
          <w:bCs/>
          <w:caps/>
          <w:color w:val="auto"/>
          <w:szCs w:val="28"/>
        </w:rPr>
        <w:fldChar w:fldCharType="separate"/>
      </w:r>
      <w:r>
        <w:rPr>
          <w:rFonts w:hint="eastAsia" w:ascii="宋体" w:hAnsi="宋体" w:eastAsia="宋体" w:cs="宋体"/>
          <w:bCs/>
          <w:color w:val="auto"/>
          <w:kern w:val="2"/>
          <w:szCs w:val="28"/>
          <w:lang w:val="en-US" w:eastAsia="zh-CN" w:bidi="ar-SA"/>
        </w:rPr>
        <w:t>（二）开采范围</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_Toc1782 \h </w:instrText>
      </w:r>
      <w:r>
        <w:rPr>
          <w:rFonts w:hint="eastAsia" w:ascii="宋体" w:hAnsi="宋体" w:eastAsia="宋体" w:cs="宋体"/>
          <w:color w:val="auto"/>
        </w:rPr>
        <w:fldChar w:fldCharType="separate"/>
      </w:r>
      <w:r>
        <w:rPr>
          <w:rFonts w:hint="eastAsia" w:ascii="宋体" w:hAnsi="宋体" w:eastAsia="宋体" w:cs="宋体"/>
          <w:color w:val="auto"/>
        </w:rPr>
        <w:t>6</w:t>
      </w:r>
      <w:r>
        <w:rPr>
          <w:rFonts w:hint="eastAsia" w:ascii="宋体" w:hAnsi="宋体" w:eastAsia="宋体" w:cs="宋体"/>
          <w:color w:val="auto"/>
        </w:rPr>
        <w:fldChar w:fldCharType="end"/>
      </w:r>
      <w:r>
        <w:rPr>
          <w:rFonts w:hint="eastAsia" w:ascii="宋体" w:hAnsi="宋体" w:eastAsia="宋体" w:cs="宋体"/>
          <w:bCs/>
          <w:caps/>
          <w:color w:val="auto"/>
          <w:szCs w:val="28"/>
        </w:rPr>
        <w:fldChar w:fldCharType="end"/>
      </w:r>
    </w:p>
    <w:p>
      <w:pPr>
        <w:pStyle w:val="58"/>
        <w:keepNext w:val="0"/>
        <w:keepLines w:val="0"/>
        <w:pageBreakBefore w:val="0"/>
        <w:widowControl w:val="0"/>
        <w:tabs>
          <w:tab w:val="right" w:leader="dot" w:pos="8312"/>
        </w:tabs>
        <w:kinsoku/>
        <w:wordWrap/>
        <w:overflowPunct/>
        <w:topLinePunct w:val="0"/>
        <w:autoSpaceDE/>
        <w:autoSpaceDN/>
        <w:bidi w:val="0"/>
        <w:adjustRightInd/>
        <w:snapToGrid/>
        <w:spacing w:line="384" w:lineRule="auto"/>
        <w:textAlignment w:val="auto"/>
        <w:rPr>
          <w:rFonts w:hint="eastAsia" w:ascii="宋体" w:hAnsi="宋体" w:eastAsia="宋体" w:cs="宋体"/>
          <w:color w:val="auto"/>
        </w:rPr>
      </w:pPr>
      <w:r>
        <w:rPr>
          <w:rFonts w:hint="eastAsia" w:ascii="宋体" w:hAnsi="宋体" w:eastAsia="宋体" w:cs="宋体"/>
          <w:bCs/>
          <w:caps/>
          <w:color w:val="auto"/>
          <w:szCs w:val="28"/>
        </w:rPr>
        <w:fldChar w:fldCharType="begin"/>
      </w:r>
      <w:r>
        <w:rPr>
          <w:rFonts w:hint="eastAsia" w:ascii="宋体" w:hAnsi="宋体" w:eastAsia="宋体" w:cs="宋体"/>
          <w:bCs/>
          <w:caps/>
          <w:color w:val="auto"/>
          <w:szCs w:val="28"/>
        </w:rPr>
        <w:instrText xml:space="preserve"> HYPERLINK \l _Toc2011 </w:instrText>
      </w:r>
      <w:r>
        <w:rPr>
          <w:rFonts w:hint="eastAsia" w:ascii="宋体" w:hAnsi="宋体" w:eastAsia="宋体" w:cs="宋体"/>
          <w:bCs/>
          <w:caps/>
          <w:color w:val="auto"/>
          <w:szCs w:val="28"/>
        </w:rPr>
        <w:fldChar w:fldCharType="separate"/>
      </w:r>
      <w:r>
        <w:rPr>
          <w:rFonts w:hint="eastAsia" w:ascii="宋体" w:hAnsi="宋体" w:eastAsia="宋体" w:cs="宋体"/>
          <w:color w:val="auto"/>
          <w:szCs w:val="32"/>
        </w:rPr>
        <w:t>四、矿山地质环境问题</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_Toc2011 \h </w:instrText>
      </w:r>
      <w:r>
        <w:rPr>
          <w:rFonts w:hint="eastAsia" w:ascii="宋体" w:hAnsi="宋体" w:eastAsia="宋体" w:cs="宋体"/>
          <w:color w:val="auto"/>
        </w:rPr>
        <w:fldChar w:fldCharType="separate"/>
      </w:r>
      <w:r>
        <w:rPr>
          <w:rFonts w:hint="eastAsia" w:ascii="宋体" w:hAnsi="宋体" w:eastAsia="宋体" w:cs="宋体"/>
          <w:color w:val="auto"/>
        </w:rPr>
        <w:t>7</w:t>
      </w:r>
      <w:r>
        <w:rPr>
          <w:rFonts w:hint="eastAsia" w:ascii="宋体" w:hAnsi="宋体" w:eastAsia="宋体" w:cs="宋体"/>
          <w:color w:val="auto"/>
        </w:rPr>
        <w:fldChar w:fldCharType="end"/>
      </w:r>
      <w:r>
        <w:rPr>
          <w:rFonts w:hint="eastAsia" w:ascii="宋体" w:hAnsi="宋体" w:eastAsia="宋体" w:cs="宋体"/>
          <w:bCs/>
          <w:caps/>
          <w:color w:val="auto"/>
          <w:szCs w:val="28"/>
        </w:rPr>
        <w:fldChar w:fldCharType="end"/>
      </w:r>
    </w:p>
    <w:p>
      <w:pPr>
        <w:pStyle w:val="73"/>
        <w:keepNext w:val="0"/>
        <w:keepLines w:val="0"/>
        <w:pageBreakBefore w:val="0"/>
        <w:widowControl w:val="0"/>
        <w:tabs>
          <w:tab w:val="right" w:leader="dot" w:pos="8312"/>
        </w:tabs>
        <w:kinsoku/>
        <w:wordWrap/>
        <w:overflowPunct/>
        <w:topLinePunct w:val="0"/>
        <w:autoSpaceDE/>
        <w:autoSpaceDN/>
        <w:bidi w:val="0"/>
        <w:adjustRightInd/>
        <w:snapToGrid/>
        <w:spacing w:line="384" w:lineRule="auto"/>
        <w:textAlignment w:val="auto"/>
        <w:rPr>
          <w:rFonts w:hint="eastAsia" w:ascii="宋体" w:hAnsi="宋体" w:eastAsia="宋体" w:cs="宋体"/>
          <w:color w:val="auto"/>
        </w:rPr>
      </w:pPr>
      <w:r>
        <w:rPr>
          <w:rFonts w:hint="eastAsia" w:ascii="宋体" w:hAnsi="宋体" w:eastAsia="宋体" w:cs="宋体"/>
          <w:bCs/>
          <w:caps/>
          <w:color w:val="auto"/>
          <w:szCs w:val="28"/>
        </w:rPr>
        <w:fldChar w:fldCharType="begin"/>
      </w:r>
      <w:r>
        <w:rPr>
          <w:rFonts w:hint="eastAsia" w:ascii="宋体" w:hAnsi="宋体" w:eastAsia="宋体" w:cs="宋体"/>
          <w:bCs/>
          <w:caps/>
          <w:color w:val="auto"/>
          <w:szCs w:val="28"/>
        </w:rPr>
        <w:instrText xml:space="preserve"> HYPERLINK \l _Toc19136 </w:instrText>
      </w:r>
      <w:r>
        <w:rPr>
          <w:rFonts w:hint="eastAsia" w:ascii="宋体" w:hAnsi="宋体" w:eastAsia="宋体" w:cs="宋体"/>
          <w:bCs/>
          <w:caps/>
          <w:color w:val="auto"/>
          <w:szCs w:val="28"/>
        </w:rPr>
        <w:fldChar w:fldCharType="separate"/>
      </w:r>
      <w:r>
        <w:rPr>
          <w:rFonts w:hint="eastAsia" w:ascii="宋体" w:hAnsi="宋体" w:eastAsia="宋体" w:cs="宋体"/>
          <w:color w:val="auto"/>
          <w:szCs w:val="28"/>
        </w:rPr>
        <w:t>（一）矿山地质环境问题现状</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_Toc19136 \h </w:instrText>
      </w:r>
      <w:r>
        <w:rPr>
          <w:rFonts w:hint="eastAsia" w:ascii="宋体" w:hAnsi="宋体" w:eastAsia="宋体" w:cs="宋体"/>
          <w:color w:val="auto"/>
        </w:rPr>
        <w:fldChar w:fldCharType="separate"/>
      </w:r>
      <w:r>
        <w:rPr>
          <w:rFonts w:hint="eastAsia" w:ascii="宋体" w:hAnsi="宋体" w:eastAsia="宋体" w:cs="宋体"/>
          <w:color w:val="auto"/>
        </w:rPr>
        <w:t>7</w:t>
      </w:r>
      <w:r>
        <w:rPr>
          <w:rFonts w:hint="eastAsia" w:ascii="宋体" w:hAnsi="宋体" w:eastAsia="宋体" w:cs="宋体"/>
          <w:color w:val="auto"/>
        </w:rPr>
        <w:fldChar w:fldCharType="end"/>
      </w:r>
      <w:r>
        <w:rPr>
          <w:rFonts w:hint="eastAsia" w:ascii="宋体" w:hAnsi="宋体" w:eastAsia="宋体" w:cs="宋体"/>
          <w:bCs/>
          <w:caps/>
          <w:color w:val="auto"/>
          <w:szCs w:val="28"/>
        </w:rPr>
        <w:fldChar w:fldCharType="end"/>
      </w:r>
    </w:p>
    <w:p>
      <w:pPr>
        <w:pStyle w:val="73"/>
        <w:keepNext w:val="0"/>
        <w:keepLines w:val="0"/>
        <w:pageBreakBefore w:val="0"/>
        <w:widowControl w:val="0"/>
        <w:tabs>
          <w:tab w:val="right" w:leader="dot" w:pos="8312"/>
        </w:tabs>
        <w:kinsoku/>
        <w:wordWrap/>
        <w:overflowPunct/>
        <w:topLinePunct w:val="0"/>
        <w:autoSpaceDE/>
        <w:autoSpaceDN/>
        <w:bidi w:val="0"/>
        <w:adjustRightInd/>
        <w:snapToGrid/>
        <w:spacing w:line="384" w:lineRule="auto"/>
        <w:textAlignment w:val="auto"/>
        <w:rPr>
          <w:rFonts w:hint="eastAsia" w:ascii="宋体" w:hAnsi="宋体" w:eastAsia="宋体" w:cs="宋体"/>
          <w:color w:val="auto"/>
        </w:rPr>
      </w:pPr>
      <w:r>
        <w:rPr>
          <w:rFonts w:hint="eastAsia" w:ascii="宋体" w:hAnsi="宋体" w:eastAsia="宋体" w:cs="宋体"/>
          <w:bCs/>
          <w:caps/>
          <w:color w:val="auto"/>
          <w:szCs w:val="28"/>
        </w:rPr>
        <w:fldChar w:fldCharType="begin"/>
      </w:r>
      <w:r>
        <w:rPr>
          <w:rFonts w:hint="eastAsia" w:ascii="宋体" w:hAnsi="宋体" w:eastAsia="宋体" w:cs="宋体"/>
          <w:bCs/>
          <w:caps/>
          <w:color w:val="auto"/>
          <w:szCs w:val="28"/>
        </w:rPr>
        <w:instrText xml:space="preserve"> HYPERLINK \l _Toc13703 </w:instrText>
      </w:r>
      <w:r>
        <w:rPr>
          <w:rFonts w:hint="eastAsia" w:ascii="宋体" w:hAnsi="宋体" w:eastAsia="宋体" w:cs="宋体"/>
          <w:bCs/>
          <w:caps/>
          <w:color w:val="auto"/>
          <w:szCs w:val="28"/>
        </w:rPr>
        <w:fldChar w:fldCharType="separate"/>
      </w:r>
      <w:r>
        <w:rPr>
          <w:rFonts w:hint="eastAsia" w:ascii="宋体" w:hAnsi="宋体" w:eastAsia="宋体" w:cs="宋体"/>
          <w:color w:val="auto"/>
          <w:szCs w:val="32"/>
        </w:rPr>
        <w:t>（二）矿山地质环境问题预测</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_Toc13703 \h </w:instrText>
      </w:r>
      <w:r>
        <w:rPr>
          <w:rFonts w:hint="eastAsia" w:ascii="宋体" w:hAnsi="宋体" w:eastAsia="宋体" w:cs="宋体"/>
          <w:color w:val="auto"/>
        </w:rPr>
        <w:fldChar w:fldCharType="separate"/>
      </w:r>
      <w:r>
        <w:rPr>
          <w:rFonts w:hint="eastAsia" w:ascii="宋体" w:hAnsi="宋体" w:eastAsia="宋体" w:cs="宋体"/>
          <w:color w:val="auto"/>
        </w:rPr>
        <w:t>13</w:t>
      </w:r>
      <w:r>
        <w:rPr>
          <w:rFonts w:hint="eastAsia" w:ascii="宋体" w:hAnsi="宋体" w:eastAsia="宋体" w:cs="宋体"/>
          <w:color w:val="auto"/>
        </w:rPr>
        <w:fldChar w:fldCharType="end"/>
      </w:r>
      <w:r>
        <w:rPr>
          <w:rFonts w:hint="eastAsia" w:ascii="宋体" w:hAnsi="宋体" w:eastAsia="宋体" w:cs="宋体"/>
          <w:bCs/>
          <w:caps/>
          <w:color w:val="auto"/>
          <w:szCs w:val="28"/>
        </w:rPr>
        <w:fldChar w:fldCharType="end"/>
      </w:r>
    </w:p>
    <w:p>
      <w:pPr>
        <w:pStyle w:val="58"/>
        <w:keepNext w:val="0"/>
        <w:keepLines w:val="0"/>
        <w:pageBreakBefore w:val="0"/>
        <w:widowControl w:val="0"/>
        <w:tabs>
          <w:tab w:val="right" w:leader="dot" w:pos="8312"/>
        </w:tabs>
        <w:kinsoku/>
        <w:wordWrap/>
        <w:overflowPunct/>
        <w:topLinePunct w:val="0"/>
        <w:autoSpaceDE/>
        <w:autoSpaceDN/>
        <w:bidi w:val="0"/>
        <w:adjustRightInd/>
        <w:snapToGrid/>
        <w:spacing w:line="384" w:lineRule="auto"/>
        <w:textAlignment w:val="auto"/>
        <w:rPr>
          <w:rFonts w:hint="eastAsia" w:ascii="宋体" w:hAnsi="宋体" w:eastAsia="宋体" w:cs="宋体"/>
          <w:color w:val="auto"/>
        </w:rPr>
      </w:pPr>
      <w:r>
        <w:rPr>
          <w:rFonts w:hint="eastAsia" w:ascii="宋体" w:hAnsi="宋体" w:eastAsia="宋体" w:cs="宋体"/>
          <w:bCs/>
          <w:caps/>
          <w:color w:val="auto"/>
          <w:szCs w:val="28"/>
        </w:rPr>
        <w:fldChar w:fldCharType="begin"/>
      </w:r>
      <w:r>
        <w:rPr>
          <w:rFonts w:hint="eastAsia" w:ascii="宋体" w:hAnsi="宋体" w:eastAsia="宋体" w:cs="宋体"/>
          <w:bCs/>
          <w:caps/>
          <w:color w:val="auto"/>
          <w:szCs w:val="28"/>
        </w:rPr>
        <w:instrText xml:space="preserve"> HYPERLINK \l _Toc3646 </w:instrText>
      </w:r>
      <w:r>
        <w:rPr>
          <w:rFonts w:hint="eastAsia" w:ascii="宋体" w:hAnsi="宋体" w:eastAsia="宋体" w:cs="宋体"/>
          <w:bCs/>
          <w:caps/>
          <w:color w:val="auto"/>
          <w:szCs w:val="28"/>
        </w:rPr>
        <w:fldChar w:fldCharType="separate"/>
      </w:r>
      <w:r>
        <w:rPr>
          <w:rFonts w:hint="eastAsia" w:ascii="宋体" w:hAnsi="宋体" w:eastAsia="宋体" w:cs="宋体"/>
          <w:color w:val="auto"/>
          <w:szCs w:val="36"/>
        </w:rPr>
        <w:t>五、矿山地质环境防治工程</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_Toc3646 \h </w:instrText>
      </w:r>
      <w:r>
        <w:rPr>
          <w:rFonts w:hint="eastAsia" w:ascii="宋体" w:hAnsi="宋体" w:eastAsia="宋体" w:cs="宋体"/>
          <w:color w:val="auto"/>
        </w:rPr>
        <w:fldChar w:fldCharType="separate"/>
      </w:r>
      <w:r>
        <w:rPr>
          <w:rFonts w:hint="eastAsia" w:ascii="宋体" w:hAnsi="宋体" w:eastAsia="宋体" w:cs="宋体"/>
          <w:color w:val="auto"/>
        </w:rPr>
        <w:t>14</w:t>
      </w:r>
      <w:r>
        <w:rPr>
          <w:rFonts w:hint="eastAsia" w:ascii="宋体" w:hAnsi="宋体" w:eastAsia="宋体" w:cs="宋体"/>
          <w:color w:val="auto"/>
        </w:rPr>
        <w:fldChar w:fldCharType="end"/>
      </w:r>
      <w:r>
        <w:rPr>
          <w:rFonts w:hint="eastAsia" w:ascii="宋体" w:hAnsi="宋体" w:eastAsia="宋体" w:cs="宋体"/>
          <w:bCs/>
          <w:caps/>
          <w:color w:val="auto"/>
          <w:szCs w:val="28"/>
        </w:rPr>
        <w:fldChar w:fldCharType="end"/>
      </w:r>
    </w:p>
    <w:p>
      <w:pPr>
        <w:pStyle w:val="73"/>
        <w:keepNext w:val="0"/>
        <w:keepLines w:val="0"/>
        <w:pageBreakBefore w:val="0"/>
        <w:widowControl w:val="0"/>
        <w:tabs>
          <w:tab w:val="right" w:leader="dot" w:pos="8312"/>
        </w:tabs>
        <w:kinsoku/>
        <w:wordWrap/>
        <w:overflowPunct/>
        <w:topLinePunct w:val="0"/>
        <w:autoSpaceDE/>
        <w:autoSpaceDN/>
        <w:bidi w:val="0"/>
        <w:adjustRightInd/>
        <w:snapToGrid/>
        <w:spacing w:line="384" w:lineRule="auto"/>
        <w:textAlignment w:val="auto"/>
        <w:rPr>
          <w:rFonts w:hint="eastAsia" w:ascii="宋体" w:hAnsi="宋体" w:eastAsia="宋体" w:cs="宋体"/>
          <w:color w:val="auto"/>
        </w:rPr>
      </w:pPr>
      <w:r>
        <w:rPr>
          <w:rFonts w:hint="eastAsia" w:ascii="宋体" w:hAnsi="宋体" w:eastAsia="宋体" w:cs="宋体"/>
          <w:bCs/>
          <w:caps/>
          <w:color w:val="auto"/>
          <w:szCs w:val="28"/>
        </w:rPr>
        <w:fldChar w:fldCharType="begin"/>
      </w:r>
      <w:r>
        <w:rPr>
          <w:rFonts w:hint="eastAsia" w:ascii="宋体" w:hAnsi="宋体" w:eastAsia="宋体" w:cs="宋体"/>
          <w:bCs/>
          <w:caps/>
          <w:color w:val="auto"/>
          <w:szCs w:val="28"/>
        </w:rPr>
        <w:instrText xml:space="preserve"> HYPERLINK \l _Toc24225 </w:instrText>
      </w:r>
      <w:r>
        <w:rPr>
          <w:rFonts w:hint="eastAsia" w:ascii="宋体" w:hAnsi="宋体" w:eastAsia="宋体" w:cs="宋体"/>
          <w:bCs/>
          <w:caps/>
          <w:color w:val="auto"/>
          <w:szCs w:val="28"/>
        </w:rPr>
        <w:fldChar w:fldCharType="separate"/>
      </w:r>
      <w:r>
        <w:rPr>
          <w:rFonts w:hint="eastAsia" w:ascii="宋体" w:hAnsi="宋体" w:eastAsia="宋体" w:cs="宋体"/>
          <w:bCs/>
          <w:color w:val="auto"/>
          <w:szCs w:val="28"/>
          <w:lang w:val="en-US" w:eastAsia="zh-CN"/>
        </w:rPr>
        <w:t>（二）矿山地质环境治理工程</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_Toc24225 \h </w:instrText>
      </w:r>
      <w:r>
        <w:rPr>
          <w:rFonts w:hint="eastAsia" w:ascii="宋体" w:hAnsi="宋体" w:eastAsia="宋体" w:cs="宋体"/>
          <w:color w:val="auto"/>
        </w:rPr>
        <w:fldChar w:fldCharType="separate"/>
      </w:r>
      <w:r>
        <w:rPr>
          <w:rFonts w:hint="eastAsia" w:ascii="宋体" w:hAnsi="宋体" w:eastAsia="宋体" w:cs="宋体"/>
          <w:color w:val="auto"/>
        </w:rPr>
        <w:t>14</w:t>
      </w:r>
      <w:r>
        <w:rPr>
          <w:rFonts w:hint="eastAsia" w:ascii="宋体" w:hAnsi="宋体" w:eastAsia="宋体" w:cs="宋体"/>
          <w:color w:val="auto"/>
        </w:rPr>
        <w:fldChar w:fldCharType="end"/>
      </w:r>
      <w:r>
        <w:rPr>
          <w:rFonts w:hint="eastAsia" w:ascii="宋体" w:hAnsi="宋体" w:eastAsia="宋体" w:cs="宋体"/>
          <w:bCs/>
          <w:caps/>
          <w:color w:val="auto"/>
          <w:szCs w:val="28"/>
        </w:rPr>
        <w:fldChar w:fldCharType="end"/>
      </w:r>
    </w:p>
    <w:p>
      <w:pPr>
        <w:pStyle w:val="73"/>
        <w:keepNext w:val="0"/>
        <w:keepLines w:val="0"/>
        <w:pageBreakBefore w:val="0"/>
        <w:widowControl w:val="0"/>
        <w:tabs>
          <w:tab w:val="right" w:leader="dot" w:pos="8312"/>
        </w:tabs>
        <w:kinsoku/>
        <w:wordWrap/>
        <w:overflowPunct/>
        <w:topLinePunct w:val="0"/>
        <w:autoSpaceDE/>
        <w:autoSpaceDN/>
        <w:bidi w:val="0"/>
        <w:adjustRightInd/>
        <w:snapToGrid/>
        <w:spacing w:line="384" w:lineRule="auto"/>
        <w:textAlignment w:val="auto"/>
        <w:rPr>
          <w:rFonts w:hint="eastAsia" w:ascii="宋体" w:hAnsi="宋体" w:eastAsia="宋体" w:cs="宋体"/>
          <w:color w:val="auto"/>
        </w:rPr>
      </w:pPr>
      <w:r>
        <w:rPr>
          <w:rFonts w:hint="eastAsia" w:ascii="宋体" w:hAnsi="宋体" w:eastAsia="宋体" w:cs="宋体"/>
          <w:bCs/>
          <w:caps/>
          <w:color w:val="auto"/>
          <w:szCs w:val="28"/>
        </w:rPr>
        <w:fldChar w:fldCharType="begin"/>
      </w:r>
      <w:r>
        <w:rPr>
          <w:rFonts w:hint="eastAsia" w:ascii="宋体" w:hAnsi="宋体" w:eastAsia="宋体" w:cs="宋体"/>
          <w:bCs/>
          <w:caps/>
          <w:color w:val="auto"/>
          <w:szCs w:val="28"/>
        </w:rPr>
        <w:instrText xml:space="preserve"> HYPERLINK \l _Toc11475 </w:instrText>
      </w:r>
      <w:r>
        <w:rPr>
          <w:rFonts w:hint="eastAsia" w:ascii="宋体" w:hAnsi="宋体" w:eastAsia="宋体" w:cs="宋体"/>
          <w:bCs/>
          <w:caps/>
          <w:color w:val="auto"/>
          <w:szCs w:val="28"/>
        </w:rPr>
        <w:fldChar w:fldCharType="separate"/>
      </w:r>
      <w:r>
        <w:rPr>
          <w:rFonts w:hint="eastAsia" w:ascii="宋体" w:hAnsi="宋体" w:eastAsia="宋体" w:cs="宋体"/>
          <w:bCs/>
          <w:color w:val="auto"/>
          <w:szCs w:val="28"/>
          <w:lang w:val="en-US" w:eastAsia="zh-CN"/>
        </w:rPr>
        <w:t>（三）矿山地质环境监测工程</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_Toc11475 \h </w:instrText>
      </w:r>
      <w:r>
        <w:rPr>
          <w:rFonts w:hint="eastAsia" w:ascii="宋体" w:hAnsi="宋体" w:eastAsia="宋体" w:cs="宋体"/>
          <w:color w:val="auto"/>
        </w:rPr>
        <w:fldChar w:fldCharType="separate"/>
      </w:r>
      <w:r>
        <w:rPr>
          <w:rFonts w:hint="eastAsia" w:ascii="宋体" w:hAnsi="宋体" w:eastAsia="宋体" w:cs="宋体"/>
          <w:color w:val="auto"/>
        </w:rPr>
        <w:t>14</w:t>
      </w:r>
      <w:r>
        <w:rPr>
          <w:rFonts w:hint="eastAsia" w:ascii="宋体" w:hAnsi="宋体" w:eastAsia="宋体" w:cs="宋体"/>
          <w:color w:val="auto"/>
        </w:rPr>
        <w:fldChar w:fldCharType="end"/>
      </w:r>
      <w:r>
        <w:rPr>
          <w:rFonts w:hint="eastAsia" w:ascii="宋体" w:hAnsi="宋体" w:eastAsia="宋体" w:cs="宋体"/>
          <w:bCs/>
          <w:caps/>
          <w:color w:val="auto"/>
          <w:szCs w:val="28"/>
        </w:rPr>
        <w:fldChar w:fldCharType="end"/>
      </w:r>
    </w:p>
    <w:p>
      <w:pPr>
        <w:pStyle w:val="58"/>
        <w:keepNext w:val="0"/>
        <w:keepLines w:val="0"/>
        <w:pageBreakBefore w:val="0"/>
        <w:widowControl w:val="0"/>
        <w:tabs>
          <w:tab w:val="right" w:leader="dot" w:pos="8312"/>
        </w:tabs>
        <w:kinsoku/>
        <w:wordWrap/>
        <w:overflowPunct/>
        <w:topLinePunct w:val="0"/>
        <w:autoSpaceDE/>
        <w:autoSpaceDN/>
        <w:bidi w:val="0"/>
        <w:adjustRightInd/>
        <w:snapToGrid/>
        <w:spacing w:line="384" w:lineRule="auto"/>
        <w:textAlignment w:val="auto"/>
        <w:rPr>
          <w:rFonts w:hint="eastAsia" w:ascii="宋体" w:hAnsi="宋体" w:eastAsia="宋体" w:cs="宋体"/>
          <w:color w:val="auto"/>
        </w:rPr>
      </w:pPr>
      <w:r>
        <w:rPr>
          <w:rFonts w:hint="eastAsia" w:ascii="宋体" w:hAnsi="宋体" w:eastAsia="宋体" w:cs="宋体"/>
          <w:bCs/>
          <w:caps/>
          <w:color w:val="auto"/>
          <w:szCs w:val="28"/>
        </w:rPr>
        <w:fldChar w:fldCharType="begin"/>
      </w:r>
      <w:r>
        <w:rPr>
          <w:rFonts w:hint="eastAsia" w:ascii="宋体" w:hAnsi="宋体" w:eastAsia="宋体" w:cs="宋体"/>
          <w:bCs/>
          <w:caps/>
          <w:color w:val="auto"/>
          <w:szCs w:val="28"/>
        </w:rPr>
        <w:instrText xml:space="preserve"> HYPERLINK \l _Toc22365 </w:instrText>
      </w:r>
      <w:r>
        <w:rPr>
          <w:rFonts w:hint="eastAsia" w:ascii="宋体" w:hAnsi="宋体" w:eastAsia="宋体" w:cs="宋体"/>
          <w:bCs/>
          <w:caps/>
          <w:color w:val="auto"/>
          <w:szCs w:val="28"/>
        </w:rPr>
        <w:fldChar w:fldCharType="separate"/>
      </w:r>
      <w:r>
        <w:rPr>
          <w:rFonts w:hint="eastAsia" w:ascii="宋体" w:hAnsi="宋体" w:eastAsia="宋体" w:cs="宋体"/>
          <w:color w:val="auto"/>
          <w:szCs w:val="32"/>
        </w:rPr>
        <w:t>六、经费估算</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_Toc22365 \h </w:instrText>
      </w:r>
      <w:r>
        <w:rPr>
          <w:rFonts w:hint="eastAsia" w:ascii="宋体" w:hAnsi="宋体" w:eastAsia="宋体" w:cs="宋体"/>
          <w:color w:val="auto"/>
        </w:rPr>
        <w:fldChar w:fldCharType="separate"/>
      </w:r>
      <w:r>
        <w:rPr>
          <w:rFonts w:hint="eastAsia" w:ascii="宋体" w:hAnsi="宋体" w:eastAsia="宋体" w:cs="宋体"/>
          <w:color w:val="auto"/>
        </w:rPr>
        <w:t>16</w:t>
      </w:r>
      <w:r>
        <w:rPr>
          <w:rFonts w:hint="eastAsia" w:ascii="宋体" w:hAnsi="宋体" w:eastAsia="宋体" w:cs="宋体"/>
          <w:color w:val="auto"/>
        </w:rPr>
        <w:fldChar w:fldCharType="end"/>
      </w:r>
      <w:r>
        <w:rPr>
          <w:rFonts w:hint="eastAsia" w:ascii="宋体" w:hAnsi="宋体" w:eastAsia="宋体" w:cs="宋体"/>
          <w:bCs/>
          <w:caps/>
          <w:color w:val="auto"/>
          <w:szCs w:val="28"/>
        </w:rPr>
        <w:fldChar w:fldCharType="end"/>
      </w:r>
    </w:p>
    <w:p>
      <w:pPr>
        <w:pStyle w:val="73"/>
        <w:keepNext w:val="0"/>
        <w:keepLines w:val="0"/>
        <w:pageBreakBefore w:val="0"/>
        <w:widowControl w:val="0"/>
        <w:tabs>
          <w:tab w:val="right" w:leader="dot" w:pos="8312"/>
        </w:tabs>
        <w:kinsoku/>
        <w:wordWrap/>
        <w:overflowPunct/>
        <w:topLinePunct w:val="0"/>
        <w:autoSpaceDE/>
        <w:autoSpaceDN/>
        <w:bidi w:val="0"/>
        <w:adjustRightInd/>
        <w:snapToGrid/>
        <w:spacing w:line="384" w:lineRule="auto"/>
        <w:textAlignment w:val="auto"/>
        <w:rPr>
          <w:rFonts w:hint="eastAsia" w:ascii="宋体" w:hAnsi="宋体" w:eastAsia="宋体" w:cs="宋体"/>
          <w:color w:val="auto"/>
        </w:rPr>
      </w:pPr>
      <w:r>
        <w:rPr>
          <w:rFonts w:hint="eastAsia" w:ascii="宋体" w:hAnsi="宋体" w:eastAsia="宋体" w:cs="宋体"/>
          <w:bCs/>
          <w:caps/>
          <w:color w:val="auto"/>
          <w:szCs w:val="28"/>
        </w:rPr>
        <w:fldChar w:fldCharType="begin"/>
      </w:r>
      <w:r>
        <w:rPr>
          <w:rFonts w:hint="eastAsia" w:ascii="宋体" w:hAnsi="宋体" w:eastAsia="宋体" w:cs="宋体"/>
          <w:bCs/>
          <w:caps/>
          <w:color w:val="auto"/>
          <w:szCs w:val="28"/>
        </w:rPr>
        <w:instrText xml:space="preserve"> HYPERLINK \l _Toc24274 </w:instrText>
      </w:r>
      <w:r>
        <w:rPr>
          <w:rFonts w:hint="eastAsia" w:ascii="宋体" w:hAnsi="宋体" w:eastAsia="宋体" w:cs="宋体"/>
          <w:bCs/>
          <w:caps/>
          <w:color w:val="auto"/>
          <w:szCs w:val="28"/>
        </w:rPr>
        <w:fldChar w:fldCharType="separate"/>
      </w:r>
      <w:r>
        <w:rPr>
          <w:rFonts w:hint="eastAsia" w:ascii="宋体" w:hAnsi="宋体" w:eastAsia="宋体" w:cs="宋体"/>
          <w:bCs/>
          <w:color w:val="auto"/>
          <w:szCs w:val="28"/>
          <w:lang w:val="en-US" w:eastAsia="zh-CN"/>
        </w:rPr>
        <w:t>一、估算说明</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_Toc24274 \h </w:instrText>
      </w:r>
      <w:r>
        <w:rPr>
          <w:rFonts w:hint="eastAsia" w:ascii="宋体" w:hAnsi="宋体" w:eastAsia="宋体" w:cs="宋体"/>
          <w:color w:val="auto"/>
        </w:rPr>
        <w:fldChar w:fldCharType="separate"/>
      </w:r>
      <w:r>
        <w:rPr>
          <w:rFonts w:hint="eastAsia" w:ascii="宋体" w:hAnsi="宋体" w:eastAsia="宋体" w:cs="宋体"/>
          <w:color w:val="auto"/>
        </w:rPr>
        <w:t>16</w:t>
      </w:r>
      <w:r>
        <w:rPr>
          <w:rFonts w:hint="eastAsia" w:ascii="宋体" w:hAnsi="宋体" w:eastAsia="宋体" w:cs="宋体"/>
          <w:color w:val="auto"/>
        </w:rPr>
        <w:fldChar w:fldCharType="end"/>
      </w:r>
      <w:r>
        <w:rPr>
          <w:rFonts w:hint="eastAsia" w:ascii="宋体" w:hAnsi="宋体" w:eastAsia="宋体" w:cs="宋体"/>
          <w:bCs/>
          <w:caps/>
          <w:color w:val="auto"/>
          <w:szCs w:val="28"/>
        </w:rPr>
        <w:fldChar w:fldCharType="end"/>
      </w:r>
    </w:p>
    <w:p>
      <w:pPr>
        <w:pStyle w:val="73"/>
        <w:keepNext w:val="0"/>
        <w:keepLines w:val="0"/>
        <w:pageBreakBefore w:val="0"/>
        <w:widowControl w:val="0"/>
        <w:tabs>
          <w:tab w:val="right" w:leader="dot" w:pos="8312"/>
        </w:tabs>
        <w:kinsoku/>
        <w:wordWrap/>
        <w:overflowPunct/>
        <w:topLinePunct w:val="0"/>
        <w:autoSpaceDE/>
        <w:autoSpaceDN/>
        <w:bidi w:val="0"/>
        <w:adjustRightInd/>
        <w:snapToGrid/>
        <w:spacing w:line="384" w:lineRule="auto"/>
        <w:textAlignment w:val="auto"/>
        <w:rPr>
          <w:rFonts w:hint="eastAsia" w:ascii="宋体" w:hAnsi="宋体" w:eastAsia="宋体" w:cs="宋体"/>
          <w:color w:val="auto"/>
        </w:rPr>
      </w:pPr>
      <w:r>
        <w:rPr>
          <w:rFonts w:hint="eastAsia" w:ascii="宋体" w:hAnsi="宋体" w:eastAsia="宋体" w:cs="宋体"/>
          <w:bCs/>
          <w:caps/>
          <w:color w:val="auto"/>
          <w:szCs w:val="28"/>
        </w:rPr>
        <w:fldChar w:fldCharType="begin"/>
      </w:r>
      <w:r>
        <w:rPr>
          <w:rFonts w:hint="eastAsia" w:ascii="宋体" w:hAnsi="宋体" w:eastAsia="宋体" w:cs="宋体"/>
          <w:bCs/>
          <w:caps/>
          <w:color w:val="auto"/>
          <w:szCs w:val="28"/>
        </w:rPr>
        <w:instrText xml:space="preserve"> HYPERLINK \l _Toc8167 </w:instrText>
      </w:r>
      <w:r>
        <w:rPr>
          <w:rFonts w:hint="eastAsia" w:ascii="宋体" w:hAnsi="宋体" w:eastAsia="宋体" w:cs="宋体"/>
          <w:bCs/>
          <w:caps/>
          <w:color w:val="auto"/>
          <w:szCs w:val="28"/>
        </w:rPr>
        <w:fldChar w:fldCharType="separate"/>
      </w:r>
      <w:r>
        <w:rPr>
          <w:rFonts w:hint="eastAsia" w:ascii="宋体" w:hAnsi="宋体" w:eastAsia="宋体" w:cs="宋体"/>
          <w:bCs/>
          <w:color w:val="auto"/>
          <w:szCs w:val="28"/>
          <w:lang w:val="zh-CN" w:eastAsia="zh-CN"/>
        </w:rPr>
        <w:t>二、主要工程量</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_Toc8167 \h </w:instrText>
      </w:r>
      <w:r>
        <w:rPr>
          <w:rFonts w:hint="eastAsia" w:ascii="宋体" w:hAnsi="宋体" w:eastAsia="宋体" w:cs="宋体"/>
          <w:color w:val="auto"/>
        </w:rPr>
        <w:fldChar w:fldCharType="separate"/>
      </w:r>
      <w:r>
        <w:rPr>
          <w:rFonts w:hint="eastAsia" w:ascii="宋体" w:hAnsi="宋体" w:eastAsia="宋体" w:cs="宋体"/>
          <w:color w:val="auto"/>
        </w:rPr>
        <w:t>21</w:t>
      </w:r>
      <w:r>
        <w:rPr>
          <w:rFonts w:hint="eastAsia" w:ascii="宋体" w:hAnsi="宋体" w:eastAsia="宋体" w:cs="宋体"/>
          <w:color w:val="auto"/>
        </w:rPr>
        <w:fldChar w:fldCharType="end"/>
      </w:r>
      <w:r>
        <w:rPr>
          <w:rFonts w:hint="eastAsia" w:ascii="宋体" w:hAnsi="宋体" w:eastAsia="宋体" w:cs="宋体"/>
          <w:bCs/>
          <w:caps/>
          <w:color w:val="auto"/>
          <w:szCs w:val="28"/>
        </w:rPr>
        <w:fldChar w:fldCharType="end"/>
      </w:r>
    </w:p>
    <w:p>
      <w:pPr>
        <w:pStyle w:val="73"/>
        <w:keepNext w:val="0"/>
        <w:keepLines w:val="0"/>
        <w:pageBreakBefore w:val="0"/>
        <w:widowControl w:val="0"/>
        <w:tabs>
          <w:tab w:val="right" w:leader="dot" w:pos="8312"/>
        </w:tabs>
        <w:kinsoku/>
        <w:wordWrap/>
        <w:overflowPunct/>
        <w:topLinePunct w:val="0"/>
        <w:autoSpaceDE/>
        <w:autoSpaceDN/>
        <w:bidi w:val="0"/>
        <w:adjustRightInd/>
        <w:snapToGrid/>
        <w:spacing w:line="384" w:lineRule="auto"/>
        <w:textAlignment w:val="auto"/>
        <w:rPr>
          <w:rFonts w:hint="eastAsia" w:ascii="宋体" w:hAnsi="宋体" w:eastAsia="宋体" w:cs="宋体"/>
          <w:color w:val="auto"/>
        </w:rPr>
      </w:pPr>
      <w:r>
        <w:rPr>
          <w:rFonts w:hint="eastAsia" w:ascii="宋体" w:hAnsi="宋体" w:eastAsia="宋体" w:cs="宋体"/>
          <w:bCs/>
          <w:caps/>
          <w:color w:val="auto"/>
          <w:szCs w:val="28"/>
        </w:rPr>
        <w:fldChar w:fldCharType="begin"/>
      </w:r>
      <w:r>
        <w:rPr>
          <w:rFonts w:hint="eastAsia" w:ascii="宋体" w:hAnsi="宋体" w:eastAsia="宋体" w:cs="宋体"/>
          <w:bCs/>
          <w:caps/>
          <w:color w:val="auto"/>
          <w:szCs w:val="28"/>
        </w:rPr>
        <w:instrText xml:space="preserve"> HYPERLINK \l _Toc20535 </w:instrText>
      </w:r>
      <w:r>
        <w:rPr>
          <w:rFonts w:hint="eastAsia" w:ascii="宋体" w:hAnsi="宋体" w:eastAsia="宋体" w:cs="宋体"/>
          <w:bCs/>
          <w:caps/>
          <w:color w:val="auto"/>
          <w:szCs w:val="28"/>
        </w:rPr>
        <w:fldChar w:fldCharType="separate"/>
      </w:r>
      <w:r>
        <w:rPr>
          <w:rFonts w:hint="eastAsia" w:ascii="宋体" w:hAnsi="宋体" w:eastAsia="宋体" w:cs="宋体"/>
          <w:bCs/>
          <w:color w:val="auto"/>
          <w:szCs w:val="28"/>
          <w:lang w:val="en-US" w:eastAsia="zh-CN"/>
        </w:rPr>
        <w:t>三、经费估算</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_Toc20535 \h </w:instrText>
      </w:r>
      <w:r>
        <w:rPr>
          <w:rFonts w:hint="eastAsia" w:ascii="宋体" w:hAnsi="宋体" w:eastAsia="宋体" w:cs="宋体"/>
          <w:color w:val="auto"/>
        </w:rPr>
        <w:fldChar w:fldCharType="separate"/>
      </w:r>
      <w:r>
        <w:rPr>
          <w:rFonts w:hint="eastAsia" w:ascii="宋体" w:hAnsi="宋体" w:eastAsia="宋体" w:cs="宋体"/>
          <w:color w:val="auto"/>
        </w:rPr>
        <w:t>21</w:t>
      </w:r>
      <w:r>
        <w:rPr>
          <w:rFonts w:hint="eastAsia" w:ascii="宋体" w:hAnsi="宋体" w:eastAsia="宋体" w:cs="宋体"/>
          <w:color w:val="auto"/>
        </w:rPr>
        <w:fldChar w:fldCharType="end"/>
      </w:r>
      <w:r>
        <w:rPr>
          <w:rFonts w:hint="eastAsia" w:ascii="宋体" w:hAnsi="宋体" w:eastAsia="宋体" w:cs="宋体"/>
          <w:bCs/>
          <w:caps/>
          <w:color w:val="auto"/>
          <w:szCs w:val="28"/>
        </w:rPr>
        <w:fldChar w:fldCharType="end"/>
      </w:r>
    </w:p>
    <w:p>
      <w:pPr>
        <w:ind w:left="0" w:leftChars="0" w:firstLine="0" w:firstLineChars="0"/>
        <w:jc w:val="center"/>
        <w:rPr>
          <w:rFonts w:hint="eastAsia" w:ascii="宋体" w:hAnsi="宋体" w:eastAsia="宋体" w:cs="宋体"/>
          <w:b/>
          <w:color w:val="auto"/>
          <w:sz w:val="28"/>
          <w:szCs w:val="28"/>
        </w:rPr>
      </w:pPr>
      <w:r>
        <w:rPr>
          <w:rFonts w:hint="eastAsia" w:ascii="宋体" w:hAnsi="宋体" w:eastAsia="宋体" w:cs="宋体"/>
          <w:bCs/>
          <w:caps/>
          <w:color w:val="auto"/>
          <w:szCs w:val="28"/>
        </w:rPr>
        <w:fldChar w:fldCharType="end"/>
      </w:r>
      <w:bookmarkStart w:id="12" w:name="_Toc25381"/>
      <w:r>
        <w:rPr>
          <w:rFonts w:hint="eastAsia" w:ascii="宋体" w:hAnsi="宋体" w:eastAsia="宋体" w:cs="宋体"/>
          <w:b/>
          <w:color w:val="auto"/>
          <w:sz w:val="32"/>
          <w:szCs w:val="32"/>
        </w:rPr>
        <w:t>附  图</w:t>
      </w:r>
    </w:p>
    <w:p>
      <w:pPr>
        <w:pageBreakBefore w:val="0"/>
        <w:adjustRightInd/>
        <w:snapToGrid/>
        <w:outlineLvl w:val="9"/>
        <w:rPr>
          <w:rFonts w:hint="eastAsia" w:ascii="宋体" w:hAnsi="宋体" w:eastAsia="宋体" w:cs="宋体"/>
          <w:bCs/>
          <w:caps/>
          <w:color w:val="auto"/>
          <w:szCs w:val="28"/>
        </w:rPr>
      </w:pPr>
      <w:r>
        <w:rPr>
          <w:rFonts w:hint="eastAsia" w:ascii="宋体" w:hAnsi="宋体" w:eastAsia="宋体" w:cs="宋体"/>
          <w:bCs/>
          <w:color w:val="auto"/>
          <w:szCs w:val="24"/>
        </w:rPr>
        <w:t>内蒙古自治区平庄煤田原五家煤矿一井东部炭质泥岩矿</w:t>
      </w:r>
      <w:r>
        <w:rPr>
          <w:rFonts w:hint="eastAsia" w:ascii="宋体" w:hAnsi="宋体" w:eastAsia="宋体" w:cs="宋体"/>
          <w:color w:val="auto"/>
          <w:szCs w:val="24"/>
        </w:rPr>
        <w:t>202</w:t>
      </w:r>
      <w:r>
        <w:rPr>
          <w:rFonts w:hint="eastAsia" w:ascii="宋体" w:hAnsi="宋体" w:eastAsia="宋体" w:cs="宋体"/>
          <w:color w:val="auto"/>
          <w:szCs w:val="24"/>
          <w:lang w:val="en-US" w:eastAsia="zh-CN"/>
        </w:rPr>
        <w:t>4</w:t>
      </w:r>
      <w:r>
        <w:rPr>
          <w:rFonts w:hint="eastAsia" w:ascii="宋体" w:hAnsi="宋体" w:eastAsia="宋体" w:cs="宋体"/>
          <w:color w:val="auto"/>
          <w:szCs w:val="24"/>
        </w:rPr>
        <w:t xml:space="preserve">年度矿山地质环境治理工程部署图                              </w:t>
      </w:r>
      <w:r>
        <w:rPr>
          <w:rFonts w:hint="eastAsia" w:ascii="宋体" w:hAnsi="宋体" w:eastAsia="宋体" w:cs="宋体"/>
          <w:color w:val="auto"/>
          <w:szCs w:val="24"/>
          <w:lang w:val="en-US" w:eastAsia="zh-CN"/>
        </w:rPr>
        <w:t xml:space="preserve">    </w:t>
      </w:r>
      <w:r>
        <w:rPr>
          <w:rFonts w:hint="eastAsia" w:ascii="宋体" w:hAnsi="宋体" w:eastAsia="宋体" w:cs="宋体"/>
          <w:color w:val="auto"/>
          <w:szCs w:val="24"/>
        </w:rPr>
        <w:t xml:space="preserve">    比例尺 1:2000</w:t>
      </w:r>
    </w:p>
    <w:p>
      <w:pPr>
        <w:pStyle w:val="2"/>
        <w:rPr>
          <w:rFonts w:hint="eastAsia" w:ascii="宋体" w:hAnsi="宋体" w:eastAsia="宋体" w:cs="宋体"/>
          <w:color w:val="auto"/>
        </w:rPr>
        <w:sectPr>
          <w:footerReference r:id="rId11" w:type="default"/>
          <w:pgSz w:w="11907" w:h="16840"/>
          <w:pgMar w:top="1440" w:right="1797" w:bottom="1440" w:left="1797" w:header="851" w:footer="992" w:gutter="0"/>
          <w:pgNumType w:fmt="decimal" w:start="1"/>
          <w:cols w:space="720" w:num="1"/>
          <w:docGrid w:linePitch="312" w:charSpace="0"/>
        </w:sectPr>
      </w:pPr>
    </w:p>
    <w:p>
      <w:pPr>
        <w:pStyle w:val="2"/>
        <w:rPr>
          <w:rFonts w:hint="eastAsia" w:ascii="宋体" w:hAnsi="宋体" w:eastAsia="宋体" w:cs="宋体"/>
          <w:color w:val="auto"/>
        </w:rPr>
      </w:pPr>
    </w:p>
    <w:p>
      <w:pPr>
        <w:pStyle w:val="4"/>
        <w:pageBreakBefore w:val="0"/>
        <w:adjustRightInd/>
        <w:snapToGrid/>
        <w:rPr>
          <w:rFonts w:hint="eastAsia" w:ascii="宋体" w:hAnsi="宋体" w:eastAsia="宋体" w:cs="宋体"/>
          <w:color w:val="auto"/>
          <w:sz w:val="36"/>
          <w:szCs w:val="36"/>
        </w:rPr>
      </w:pPr>
      <w:r>
        <w:rPr>
          <w:rFonts w:hint="eastAsia" w:ascii="宋体" w:hAnsi="宋体" w:eastAsia="宋体" w:cs="宋体"/>
          <w:color w:val="auto"/>
          <w:sz w:val="32"/>
          <w:szCs w:val="32"/>
        </w:rPr>
        <w:t>一、矿山基本情况</w:t>
      </w:r>
      <w:bookmarkEnd w:id="12"/>
    </w:p>
    <w:p>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center"/>
        <w:textAlignment w:val="auto"/>
        <w:rPr>
          <w:rFonts w:hint="eastAsia" w:ascii="宋体" w:hAnsi="宋体" w:eastAsia="宋体" w:cs="宋体"/>
          <w:color w:val="auto"/>
          <w:sz w:val="28"/>
          <w:szCs w:val="28"/>
        </w:rPr>
      </w:pPr>
      <w:r>
        <w:rPr>
          <w:rFonts w:hint="eastAsia" w:ascii="宋体" w:hAnsi="宋体" w:eastAsia="宋体" w:cs="宋体"/>
          <w:b/>
          <w:bCs w:val="0"/>
          <w:color w:val="auto"/>
          <w:sz w:val="24"/>
          <w:szCs w:val="24"/>
          <w:lang w:val="zh-CN"/>
        </w:rPr>
        <w:t>矿山基本信息表</w:t>
      </w:r>
    </w:p>
    <w:tbl>
      <w:tblPr>
        <w:tblStyle w:val="87"/>
        <w:tblW w:w="82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4"/>
        <w:gridCol w:w="1201"/>
        <w:gridCol w:w="2003"/>
        <w:gridCol w:w="812"/>
        <w:gridCol w:w="756"/>
        <w:gridCol w:w="19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8" w:type="dxa"/>
            <w:gridSpan w:val="6"/>
            <w:vAlign w:val="center"/>
          </w:tcPr>
          <w:p>
            <w:pPr>
              <w:autoSpaceDE w:val="0"/>
              <w:autoSpaceDN w:val="0"/>
              <w:spacing w:line="240" w:lineRule="auto"/>
              <w:ind w:firstLine="0" w:firstLineChars="0"/>
              <w:jc w:val="center"/>
              <w:rPr>
                <w:rFonts w:hint="eastAsia" w:ascii="宋体" w:hAnsi="宋体" w:eastAsia="宋体" w:cs="宋体"/>
                <w:b/>
                <w:color w:val="auto"/>
                <w:sz w:val="21"/>
                <w:szCs w:val="21"/>
                <w:lang w:val="zh-CN"/>
              </w:rPr>
            </w:pPr>
            <w:r>
              <w:rPr>
                <w:rFonts w:hint="eastAsia" w:ascii="宋体" w:hAnsi="宋体" w:eastAsia="宋体" w:cs="宋体"/>
                <w:b w:val="0"/>
                <w:bCs/>
                <w:color w:val="auto"/>
                <w:sz w:val="21"/>
                <w:szCs w:val="21"/>
                <w:lang w:val="zh-CN"/>
              </w:rPr>
              <w:t>矿山企业基本信息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4" w:type="dxa"/>
            <w:vAlign w:val="center"/>
          </w:tcPr>
          <w:p>
            <w:pPr>
              <w:autoSpaceDE w:val="0"/>
              <w:autoSpaceDN w:val="0"/>
              <w:spacing w:line="240" w:lineRule="auto"/>
              <w:ind w:firstLine="0" w:firstLineChars="0"/>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矿山名称</w:t>
            </w:r>
          </w:p>
        </w:tc>
        <w:tc>
          <w:tcPr>
            <w:tcW w:w="6744" w:type="dxa"/>
            <w:gridSpan w:val="5"/>
            <w:vAlign w:val="center"/>
          </w:tcPr>
          <w:p>
            <w:pPr>
              <w:autoSpaceDE w:val="0"/>
              <w:autoSpaceDN w:val="0"/>
              <w:spacing w:line="240" w:lineRule="auto"/>
              <w:ind w:firstLine="0" w:firstLineChars="0"/>
              <w:jc w:val="center"/>
              <w:rPr>
                <w:rFonts w:hint="eastAsia" w:ascii="宋体" w:hAnsi="宋体" w:eastAsia="宋体" w:cs="宋体"/>
                <w:color w:val="auto"/>
                <w:sz w:val="21"/>
                <w:szCs w:val="21"/>
                <w:lang w:val="zh-CN"/>
              </w:rPr>
            </w:pPr>
            <w:r>
              <w:rPr>
                <w:rFonts w:hint="eastAsia" w:ascii="宋体" w:hAnsi="宋体" w:eastAsia="宋体" w:cs="宋体"/>
                <w:bCs/>
                <w:color w:val="auto"/>
                <w:sz w:val="21"/>
                <w:szCs w:val="21"/>
              </w:rPr>
              <w:t>内蒙古自治区平庄煤田原五家煤矿一井东部炭质泥岩矿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4" w:type="dxa"/>
            <w:vAlign w:val="center"/>
          </w:tcPr>
          <w:p>
            <w:pPr>
              <w:autoSpaceDE w:val="0"/>
              <w:autoSpaceDN w:val="0"/>
              <w:spacing w:line="240" w:lineRule="auto"/>
              <w:ind w:firstLine="0" w:firstLineChars="0"/>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采矿权人</w:t>
            </w:r>
          </w:p>
        </w:tc>
        <w:tc>
          <w:tcPr>
            <w:tcW w:w="3204" w:type="dxa"/>
            <w:gridSpan w:val="2"/>
            <w:vAlign w:val="center"/>
          </w:tcPr>
          <w:p>
            <w:pPr>
              <w:autoSpaceDE w:val="0"/>
              <w:autoSpaceDN w:val="0"/>
              <w:spacing w:line="240" w:lineRule="auto"/>
              <w:ind w:firstLine="0" w:firstLineChars="0"/>
              <w:jc w:val="center"/>
              <w:rPr>
                <w:rFonts w:hint="eastAsia" w:ascii="宋体" w:hAnsi="宋体" w:eastAsia="宋体" w:cs="宋体"/>
                <w:color w:val="auto"/>
                <w:sz w:val="21"/>
                <w:szCs w:val="21"/>
                <w:lang w:val="zh-CN"/>
              </w:rPr>
            </w:pPr>
            <w:r>
              <w:rPr>
                <w:rFonts w:hint="eastAsia" w:ascii="宋体" w:hAnsi="宋体" w:eastAsia="宋体" w:cs="宋体"/>
                <w:bCs/>
                <w:color w:val="auto"/>
                <w:spacing w:val="20"/>
                <w:sz w:val="21"/>
                <w:szCs w:val="21"/>
              </w:rPr>
              <w:t>元宝山区五家镇嘉润碳质泥岩有限责任公司</w:t>
            </w:r>
          </w:p>
        </w:tc>
        <w:tc>
          <w:tcPr>
            <w:tcW w:w="1568" w:type="dxa"/>
            <w:gridSpan w:val="2"/>
            <w:vAlign w:val="center"/>
          </w:tcPr>
          <w:p>
            <w:pPr>
              <w:autoSpaceDE w:val="0"/>
              <w:autoSpaceDN w:val="0"/>
              <w:spacing w:line="240" w:lineRule="auto"/>
              <w:ind w:firstLine="0" w:firstLineChars="0"/>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法人代表</w:t>
            </w:r>
          </w:p>
        </w:tc>
        <w:tc>
          <w:tcPr>
            <w:tcW w:w="1972" w:type="dxa"/>
            <w:vAlign w:val="center"/>
          </w:tcPr>
          <w:p>
            <w:pPr>
              <w:autoSpaceDE w:val="0"/>
              <w:autoSpaceDN w:val="0"/>
              <w:spacing w:line="240" w:lineRule="auto"/>
              <w:ind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王永燕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4" w:type="dxa"/>
            <w:vAlign w:val="center"/>
          </w:tcPr>
          <w:p>
            <w:pPr>
              <w:autoSpaceDE w:val="0"/>
              <w:autoSpaceDN w:val="0"/>
              <w:spacing w:line="240" w:lineRule="auto"/>
              <w:ind w:firstLine="0" w:firstLineChars="0"/>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采矿许可证号</w:t>
            </w:r>
          </w:p>
        </w:tc>
        <w:tc>
          <w:tcPr>
            <w:tcW w:w="3204" w:type="dxa"/>
            <w:gridSpan w:val="2"/>
            <w:vAlign w:val="center"/>
          </w:tcPr>
          <w:p>
            <w:pPr>
              <w:autoSpaceDE w:val="0"/>
              <w:autoSpaceDN w:val="0"/>
              <w:spacing w:line="240" w:lineRule="auto"/>
              <w:ind w:firstLine="0" w:firstLineChars="0"/>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rPr>
              <w:t>C1504002014076110136297</w:t>
            </w:r>
          </w:p>
        </w:tc>
        <w:tc>
          <w:tcPr>
            <w:tcW w:w="1568" w:type="dxa"/>
            <w:gridSpan w:val="2"/>
            <w:vAlign w:val="center"/>
          </w:tcPr>
          <w:p>
            <w:pPr>
              <w:autoSpaceDE w:val="0"/>
              <w:autoSpaceDN w:val="0"/>
              <w:spacing w:line="240" w:lineRule="auto"/>
              <w:ind w:firstLine="0" w:firstLineChars="0"/>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发证机关</w:t>
            </w:r>
          </w:p>
        </w:tc>
        <w:tc>
          <w:tcPr>
            <w:tcW w:w="1972" w:type="dxa"/>
            <w:vAlign w:val="center"/>
          </w:tcPr>
          <w:p>
            <w:pPr>
              <w:autoSpaceDE w:val="0"/>
              <w:autoSpaceDN w:val="0"/>
              <w:spacing w:line="240" w:lineRule="auto"/>
              <w:ind w:firstLine="0" w:firstLineChars="0"/>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赤峰市自然资源局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4" w:type="dxa"/>
            <w:vAlign w:val="center"/>
          </w:tcPr>
          <w:p>
            <w:pPr>
              <w:autoSpaceDE w:val="0"/>
              <w:autoSpaceDN w:val="0"/>
              <w:spacing w:line="240" w:lineRule="auto"/>
              <w:ind w:firstLine="0" w:firstLineChars="0"/>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有效期限</w:t>
            </w:r>
          </w:p>
        </w:tc>
        <w:tc>
          <w:tcPr>
            <w:tcW w:w="3204" w:type="dxa"/>
            <w:gridSpan w:val="2"/>
            <w:vAlign w:val="center"/>
          </w:tcPr>
          <w:p>
            <w:pPr>
              <w:autoSpaceDE w:val="0"/>
              <w:autoSpaceDN w:val="0"/>
              <w:spacing w:line="240" w:lineRule="auto"/>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2020年7月4日至2023年7月4日</w:t>
            </w:r>
          </w:p>
          <w:p>
            <w:pPr>
              <w:autoSpaceDE w:val="0"/>
              <w:autoSpaceDN w:val="0"/>
              <w:spacing w:line="240" w:lineRule="auto"/>
              <w:ind w:firstLine="0" w:firstLineChars="0"/>
              <w:jc w:val="center"/>
              <w:rPr>
                <w:rFonts w:hint="eastAsia" w:ascii="宋体" w:hAnsi="宋体" w:eastAsia="宋体" w:cs="宋体"/>
                <w:color w:val="auto"/>
                <w:sz w:val="21"/>
                <w:szCs w:val="21"/>
                <w:lang w:val="zh-CN" w:eastAsia="zh-CN"/>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延续受理中</w:t>
            </w:r>
            <w:r>
              <w:rPr>
                <w:rFonts w:hint="eastAsia" w:ascii="宋体" w:hAnsi="宋体" w:eastAsia="宋体" w:cs="宋体"/>
                <w:color w:val="auto"/>
                <w:sz w:val="21"/>
                <w:szCs w:val="21"/>
                <w:lang w:eastAsia="zh-CN"/>
              </w:rPr>
              <w:t>）</w:t>
            </w:r>
          </w:p>
        </w:tc>
        <w:tc>
          <w:tcPr>
            <w:tcW w:w="1568" w:type="dxa"/>
            <w:gridSpan w:val="2"/>
            <w:vAlign w:val="center"/>
          </w:tcPr>
          <w:p>
            <w:pPr>
              <w:autoSpaceDE w:val="0"/>
              <w:autoSpaceDN w:val="0"/>
              <w:spacing w:line="240" w:lineRule="auto"/>
              <w:ind w:firstLine="0" w:firstLineChars="0"/>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发证日期</w:t>
            </w:r>
          </w:p>
        </w:tc>
        <w:tc>
          <w:tcPr>
            <w:tcW w:w="1972" w:type="dxa"/>
            <w:vAlign w:val="center"/>
          </w:tcPr>
          <w:p>
            <w:pPr>
              <w:autoSpaceDE w:val="0"/>
              <w:autoSpaceDN w:val="0"/>
              <w:spacing w:line="240" w:lineRule="auto"/>
              <w:ind w:firstLine="0" w:firstLineChars="0"/>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rPr>
              <w:t>2020年7月4日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4" w:type="dxa"/>
            <w:vAlign w:val="center"/>
          </w:tcPr>
          <w:p>
            <w:pPr>
              <w:autoSpaceDE w:val="0"/>
              <w:autoSpaceDN w:val="0"/>
              <w:spacing w:line="240" w:lineRule="auto"/>
              <w:ind w:firstLine="0" w:firstLineChars="0"/>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矿区地址</w:t>
            </w:r>
          </w:p>
        </w:tc>
        <w:tc>
          <w:tcPr>
            <w:tcW w:w="6744" w:type="dxa"/>
            <w:gridSpan w:val="5"/>
            <w:vAlign w:val="center"/>
          </w:tcPr>
          <w:p>
            <w:pPr>
              <w:autoSpaceDE w:val="0"/>
              <w:autoSpaceDN w:val="0"/>
              <w:spacing w:line="240" w:lineRule="auto"/>
              <w:ind w:firstLine="0" w:firstLineChars="0"/>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rPr>
              <w:t>赤峰市元宝山区五家镇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4" w:type="dxa"/>
            <w:vAlign w:val="center"/>
          </w:tcPr>
          <w:p>
            <w:pPr>
              <w:autoSpaceDE w:val="0"/>
              <w:autoSpaceDN w:val="0"/>
              <w:spacing w:line="240" w:lineRule="auto"/>
              <w:ind w:firstLine="0" w:firstLineChars="0"/>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经纬度坐标</w:t>
            </w:r>
          </w:p>
        </w:tc>
        <w:tc>
          <w:tcPr>
            <w:tcW w:w="6744" w:type="dxa"/>
            <w:gridSpan w:val="5"/>
            <w:vAlign w:val="center"/>
          </w:tcPr>
          <w:p>
            <w:pPr>
              <w:keepNext w:val="0"/>
              <w:keepLines w:val="0"/>
              <w:pageBreakBefore w:val="0"/>
              <w:widowControl/>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东经119º09′52″～119º10′15″北纬41º58′32″～41º58′40″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4" w:type="dxa"/>
            <w:vAlign w:val="center"/>
          </w:tcPr>
          <w:p>
            <w:pPr>
              <w:autoSpaceDE w:val="0"/>
              <w:autoSpaceDN w:val="0"/>
              <w:spacing w:line="240" w:lineRule="auto"/>
              <w:ind w:firstLine="0" w:firstLineChars="0"/>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经济类型</w:t>
            </w:r>
          </w:p>
        </w:tc>
        <w:tc>
          <w:tcPr>
            <w:tcW w:w="3204" w:type="dxa"/>
            <w:gridSpan w:val="2"/>
            <w:vAlign w:val="center"/>
          </w:tcPr>
          <w:p>
            <w:pPr>
              <w:autoSpaceDE w:val="0"/>
              <w:autoSpaceDN w:val="0"/>
              <w:spacing w:line="240" w:lineRule="auto"/>
              <w:ind w:firstLine="0" w:firstLineChars="0"/>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rPr>
              <w:t>有限责任公司</w:t>
            </w:r>
          </w:p>
        </w:tc>
        <w:tc>
          <w:tcPr>
            <w:tcW w:w="1568" w:type="dxa"/>
            <w:gridSpan w:val="2"/>
            <w:vAlign w:val="center"/>
          </w:tcPr>
          <w:p>
            <w:pPr>
              <w:autoSpaceDE w:val="0"/>
              <w:autoSpaceDN w:val="0"/>
              <w:spacing w:line="240" w:lineRule="auto"/>
              <w:ind w:firstLine="0" w:firstLineChars="0"/>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生产规模</w:t>
            </w:r>
          </w:p>
        </w:tc>
        <w:tc>
          <w:tcPr>
            <w:tcW w:w="1972" w:type="dxa"/>
            <w:vAlign w:val="center"/>
          </w:tcPr>
          <w:p>
            <w:pPr>
              <w:autoSpaceDE w:val="0"/>
              <w:autoSpaceDN w:val="0"/>
              <w:spacing w:line="240" w:lineRule="auto"/>
              <w:ind w:firstLine="0" w:firstLineChars="0"/>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4" w:type="dxa"/>
            <w:vAlign w:val="center"/>
          </w:tcPr>
          <w:p>
            <w:pPr>
              <w:autoSpaceDE w:val="0"/>
              <w:autoSpaceDN w:val="0"/>
              <w:spacing w:line="240" w:lineRule="auto"/>
              <w:ind w:firstLine="0" w:firstLineChars="0"/>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开采矿种</w:t>
            </w:r>
          </w:p>
        </w:tc>
        <w:tc>
          <w:tcPr>
            <w:tcW w:w="3204" w:type="dxa"/>
            <w:gridSpan w:val="2"/>
            <w:vAlign w:val="center"/>
          </w:tcPr>
          <w:p>
            <w:pPr>
              <w:autoSpaceDE w:val="0"/>
              <w:autoSpaceDN w:val="0"/>
              <w:spacing w:line="240" w:lineRule="auto"/>
              <w:ind w:firstLine="0" w:firstLineChars="0"/>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泥炭</w:t>
            </w:r>
          </w:p>
        </w:tc>
        <w:tc>
          <w:tcPr>
            <w:tcW w:w="1568" w:type="dxa"/>
            <w:gridSpan w:val="2"/>
            <w:vAlign w:val="center"/>
          </w:tcPr>
          <w:p>
            <w:pPr>
              <w:autoSpaceDE w:val="0"/>
              <w:autoSpaceDN w:val="0"/>
              <w:spacing w:line="240" w:lineRule="auto"/>
              <w:ind w:firstLine="0" w:firstLineChars="0"/>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采矿方式</w:t>
            </w:r>
          </w:p>
        </w:tc>
        <w:tc>
          <w:tcPr>
            <w:tcW w:w="1972" w:type="dxa"/>
            <w:vAlign w:val="center"/>
          </w:tcPr>
          <w:p>
            <w:pPr>
              <w:autoSpaceDE w:val="0"/>
              <w:autoSpaceDN w:val="0"/>
              <w:spacing w:line="240" w:lineRule="auto"/>
              <w:ind w:firstLine="0" w:firstLineChars="0"/>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露天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4" w:type="dxa"/>
            <w:vAlign w:val="center"/>
          </w:tcPr>
          <w:p>
            <w:pPr>
              <w:autoSpaceDE w:val="0"/>
              <w:autoSpaceDN w:val="0"/>
              <w:spacing w:line="240" w:lineRule="auto"/>
              <w:ind w:firstLine="0" w:firstLineChars="0"/>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矿区面积</w:t>
            </w:r>
          </w:p>
        </w:tc>
        <w:tc>
          <w:tcPr>
            <w:tcW w:w="3204" w:type="dxa"/>
            <w:gridSpan w:val="2"/>
            <w:vAlign w:val="center"/>
          </w:tcPr>
          <w:p>
            <w:pPr>
              <w:autoSpaceDE w:val="0"/>
              <w:autoSpaceDN w:val="0"/>
              <w:spacing w:line="240" w:lineRule="auto"/>
              <w:ind w:firstLine="0" w:firstLineChars="0"/>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rPr>
              <w:t>0.0896km</w:t>
            </w:r>
            <w:r>
              <w:rPr>
                <w:rFonts w:hint="eastAsia" w:ascii="宋体" w:hAnsi="宋体" w:eastAsia="宋体" w:cs="宋体"/>
                <w:color w:val="auto"/>
                <w:sz w:val="21"/>
                <w:szCs w:val="21"/>
                <w:vertAlign w:val="superscript"/>
              </w:rPr>
              <w:t>2</w:t>
            </w:r>
          </w:p>
        </w:tc>
        <w:tc>
          <w:tcPr>
            <w:tcW w:w="1568" w:type="dxa"/>
            <w:gridSpan w:val="2"/>
            <w:vAlign w:val="center"/>
          </w:tcPr>
          <w:p>
            <w:pPr>
              <w:autoSpaceDE w:val="0"/>
              <w:autoSpaceDN w:val="0"/>
              <w:spacing w:line="240" w:lineRule="auto"/>
              <w:ind w:firstLine="0" w:firstLineChars="0"/>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生产现状</w:t>
            </w:r>
          </w:p>
        </w:tc>
        <w:tc>
          <w:tcPr>
            <w:tcW w:w="1972" w:type="dxa"/>
            <w:vAlign w:val="center"/>
          </w:tcPr>
          <w:p>
            <w:pPr>
              <w:autoSpaceDE w:val="0"/>
              <w:autoSpaceDN w:val="0"/>
              <w:spacing w:line="240" w:lineRule="auto"/>
              <w:ind w:firstLine="0" w:firstLineChars="0"/>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停产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4" w:type="dxa"/>
            <w:vAlign w:val="center"/>
          </w:tcPr>
          <w:p>
            <w:pPr>
              <w:autoSpaceDE w:val="0"/>
              <w:autoSpaceDN w:val="0"/>
              <w:spacing w:line="240" w:lineRule="auto"/>
              <w:ind w:firstLine="0" w:firstLineChars="0"/>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建矿时间</w:t>
            </w:r>
          </w:p>
        </w:tc>
        <w:tc>
          <w:tcPr>
            <w:tcW w:w="3204" w:type="dxa"/>
            <w:gridSpan w:val="2"/>
            <w:vAlign w:val="center"/>
          </w:tcPr>
          <w:p>
            <w:pPr>
              <w:autoSpaceDE w:val="0"/>
              <w:autoSpaceDN w:val="0"/>
              <w:spacing w:line="240" w:lineRule="auto"/>
              <w:ind w:firstLine="0" w:firstLineChars="0"/>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2011年1月</w:t>
            </w:r>
          </w:p>
        </w:tc>
        <w:tc>
          <w:tcPr>
            <w:tcW w:w="1568" w:type="dxa"/>
            <w:gridSpan w:val="2"/>
            <w:vAlign w:val="center"/>
          </w:tcPr>
          <w:p>
            <w:pPr>
              <w:autoSpaceDE w:val="0"/>
              <w:autoSpaceDN w:val="0"/>
              <w:spacing w:line="240" w:lineRule="auto"/>
              <w:ind w:firstLine="0" w:firstLineChars="0"/>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设计生产能力</w:t>
            </w:r>
          </w:p>
        </w:tc>
        <w:tc>
          <w:tcPr>
            <w:tcW w:w="1972" w:type="dxa"/>
            <w:vAlign w:val="center"/>
          </w:tcPr>
          <w:p>
            <w:pPr>
              <w:autoSpaceDE w:val="0"/>
              <w:autoSpaceDN w:val="0"/>
              <w:spacing w:line="240" w:lineRule="auto"/>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lang w:val="zh-CN"/>
              </w:rPr>
              <w:t>15万吨/年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4" w:type="dxa"/>
            <w:vAlign w:val="center"/>
          </w:tcPr>
          <w:p>
            <w:pPr>
              <w:autoSpaceDE w:val="0"/>
              <w:autoSpaceDN w:val="0"/>
              <w:spacing w:line="240" w:lineRule="auto"/>
              <w:ind w:firstLine="0" w:firstLineChars="0"/>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设计服务年限</w:t>
            </w:r>
          </w:p>
        </w:tc>
        <w:tc>
          <w:tcPr>
            <w:tcW w:w="3204" w:type="dxa"/>
            <w:gridSpan w:val="2"/>
            <w:vAlign w:val="center"/>
          </w:tcPr>
          <w:p>
            <w:pPr>
              <w:autoSpaceDE w:val="0"/>
              <w:autoSpaceDN w:val="0"/>
              <w:spacing w:line="240" w:lineRule="auto"/>
              <w:ind w:firstLine="0" w:firstLineChars="0"/>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rPr>
              <w:t>2020年7月1日至2028年6月30日</w:t>
            </w:r>
          </w:p>
        </w:tc>
        <w:tc>
          <w:tcPr>
            <w:tcW w:w="1568" w:type="dxa"/>
            <w:gridSpan w:val="2"/>
            <w:vAlign w:val="center"/>
          </w:tcPr>
          <w:p>
            <w:pPr>
              <w:autoSpaceDE w:val="0"/>
              <w:autoSpaceDN w:val="0"/>
              <w:spacing w:line="240" w:lineRule="auto"/>
              <w:ind w:firstLine="0" w:firstLineChars="0"/>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实际生产能力</w:t>
            </w:r>
          </w:p>
        </w:tc>
        <w:tc>
          <w:tcPr>
            <w:tcW w:w="1972" w:type="dxa"/>
            <w:vAlign w:val="center"/>
          </w:tcPr>
          <w:p>
            <w:pPr>
              <w:autoSpaceDE w:val="0"/>
              <w:autoSpaceDN w:val="0"/>
              <w:spacing w:line="240" w:lineRule="auto"/>
              <w:ind w:firstLine="0" w:firstLineChars="0"/>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0×10</w:t>
            </w:r>
            <w:r>
              <w:rPr>
                <w:rFonts w:hint="eastAsia" w:ascii="宋体" w:hAnsi="宋体" w:eastAsia="宋体" w:cs="宋体"/>
                <w:color w:val="auto"/>
                <w:sz w:val="21"/>
                <w:szCs w:val="21"/>
                <w:vertAlign w:val="superscript"/>
                <w:lang w:val="zh-CN"/>
              </w:rPr>
              <w:t>4</w:t>
            </w:r>
            <w:r>
              <w:rPr>
                <w:rFonts w:hint="eastAsia" w:ascii="宋体" w:hAnsi="宋体" w:eastAsia="宋体" w:cs="宋体"/>
                <w:color w:val="auto"/>
                <w:sz w:val="21"/>
                <w:szCs w:val="21"/>
                <w:lang w:val="zh-CN"/>
              </w:rPr>
              <w:t>m</w:t>
            </w:r>
            <w:r>
              <w:rPr>
                <w:rFonts w:hint="eastAsia" w:ascii="宋体" w:hAnsi="宋体" w:eastAsia="宋体" w:cs="宋体"/>
                <w:color w:val="auto"/>
                <w:sz w:val="21"/>
                <w:szCs w:val="21"/>
                <w:vertAlign w:val="superscript"/>
                <w:lang w:val="zh-CN"/>
              </w:rPr>
              <w:t>3</w:t>
            </w:r>
            <w:r>
              <w:rPr>
                <w:rFonts w:hint="eastAsia" w:ascii="宋体" w:hAnsi="宋体" w:eastAsia="宋体" w:cs="宋体"/>
                <w:color w:val="auto"/>
                <w:sz w:val="21"/>
                <w:szCs w:val="21"/>
                <w:lang w:val="zh-CN"/>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4" w:type="dxa"/>
            <w:vAlign w:val="center"/>
          </w:tcPr>
          <w:p>
            <w:pPr>
              <w:autoSpaceDE w:val="0"/>
              <w:autoSpaceDN w:val="0"/>
              <w:spacing w:line="240" w:lineRule="auto"/>
              <w:ind w:firstLine="0" w:firstLineChars="0"/>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剩余服务年限</w:t>
            </w:r>
          </w:p>
        </w:tc>
        <w:tc>
          <w:tcPr>
            <w:tcW w:w="3204" w:type="dxa"/>
            <w:gridSpan w:val="2"/>
            <w:vAlign w:val="center"/>
          </w:tcPr>
          <w:p>
            <w:pPr>
              <w:autoSpaceDE w:val="0"/>
              <w:autoSpaceDN w:val="0"/>
              <w:spacing w:line="240" w:lineRule="auto"/>
              <w:ind w:firstLine="0" w:firstLineChars="0"/>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5.3年</w:t>
            </w:r>
          </w:p>
        </w:tc>
        <w:tc>
          <w:tcPr>
            <w:tcW w:w="1568" w:type="dxa"/>
            <w:gridSpan w:val="2"/>
            <w:vAlign w:val="center"/>
          </w:tcPr>
          <w:p>
            <w:pPr>
              <w:autoSpaceDE w:val="0"/>
              <w:autoSpaceDN w:val="0"/>
              <w:spacing w:line="240" w:lineRule="auto"/>
              <w:ind w:firstLine="0" w:firstLineChars="0"/>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开采深度</w:t>
            </w:r>
          </w:p>
        </w:tc>
        <w:tc>
          <w:tcPr>
            <w:tcW w:w="1972" w:type="dxa"/>
            <w:vAlign w:val="center"/>
          </w:tcPr>
          <w:p>
            <w:pPr>
              <w:autoSpaceDE w:val="0"/>
              <w:autoSpaceDN w:val="0"/>
              <w:spacing w:line="240" w:lineRule="auto"/>
              <w:ind w:firstLine="0" w:firstLineChars="0"/>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660.00m</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lang w:val="zh-CN"/>
              </w:rPr>
              <w:t>580.00m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4" w:type="dxa"/>
            <w:vAlign w:val="center"/>
          </w:tcPr>
          <w:p>
            <w:pPr>
              <w:autoSpaceDE w:val="0"/>
              <w:autoSpaceDN w:val="0"/>
              <w:spacing w:line="240" w:lineRule="auto"/>
              <w:ind w:firstLine="0" w:firstLineChars="0"/>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查明资源储量</w:t>
            </w:r>
          </w:p>
        </w:tc>
        <w:tc>
          <w:tcPr>
            <w:tcW w:w="3204" w:type="dxa"/>
            <w:gridSpan w:val="2"/>
            <w:vAlign w:val="center"/>
          </w:tcPr>
          <w:p>
            <w:pPr>
              <w:autoSpaceDE w:val="0"/>
              <w:autoSpaceDN w:val="0"/>
              <w:spacing w:line="240" w:lineRule="auto"/>
              <w:ind w:firstLine="0" w:firstLineChars="0"/>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139×10</w:t>
            </w:r>
            <w:r>
              <w:rPr>
                <w:rFonts w:hint="eastAsia" w:ascii="宋体" w:hAnsi="宋体" w:eastAsia="宋体" w:cs="宋体"/>
                <w:color w:val="auto"/>
                <w:sz w:val="21"/>
                <w:szCs w:val="21"/>
                <w:vertAlign w:val="superscript"/>
                <w:lang w:val="zh-CN"/>
              </w:rPr>
              <w:t>4</w:t>
            </w:r>
            <w:r>
              <w:rPr>
                <w:rFonts w:hint="eastAsia" w:ascii="宋体" w:hAnsi="宋体" w:eastAsia="宋体" w:cs="宋体"/>
                <w:color w:val="auto"/>
                <w:sz w:val="21"/>
                <w:szCs w:val="21"/>
                <w:lang w:val="zh-CN"/>
              </w:rPr>
              <w:t>m</w:t>
            </w:r>
            <w:r>
              <w:rPr>
                <w:rFonts w:hint="eastAsia" w:ascii="宋体" w:hAnsi="宋体" w:eastAsia="宋体" w:cs="宋体"/>
                <w:color w:val="auto"/>
                <w:sz w:val="21"/>
                <w:szCs w:val="21"/>
                <w:vertAlign w:val="superscript"/>
                <w:lang w:val="zh-CN"/>
              </w:rPr>
              <w:t>3</w:t>
            </w:r>
          </w:p>
        </w:tc>
        <w:tc>
          <w:tcPr>
            <w:tcW w:w="1568" w:type="dxa"/>
            <w:gridSpan w:val="2"/>
            <w:vAlign w:val="center"/>
          </w:tcPr>
          <w:p>
            <w:pPr>
              <w:autoSpaceDE w:val="0"/>
              <w:autoSpaceDN w:val="0"/>
              <w:spacing w:line="240" w:lineRule="auto"/>
              <w:ind w:firstLine="0" w:firstLineChars="0"/>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剩余资源储量</w:t>
            </w:r>
          </w:p>
        </w:tc>
        <w:tc>
          <w:tcPr>
            <w:tcW w:w="1972" w:type="dxa"/>
            <w:vAlign w:val="center"/>
          </w:tcPr>
          <w:p>
            <w:pPr>
              <w:autoSpaceDE w:val="0"/>
              <w:autoSpaceDN w:val="0"/>
              <w:spacing w:line="240" w:lineRule="auto"/>
              <w:ind w:firstLine="0" w:firstLineChars="0"/>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115.3×10</w:t>
            </w:r>
            <w:r>
              <w:rPr>
                <w:rFonts w:hint="eastAsia" w:ascii="宋体" w:hAnsi="宋体" w:eastAsia="宋体" w:cs="宋体"/>
                <w:color w:val="auto"/>
                <w:sz w:val="21"/>
                <w:szCs w:val="21"/>
                <w:vertAlign w:val="superscript"/>
                <w:lang w:val="zh-CN"/>
              </w:rPr>
              <w:t>4</w:t>
            </w:r>
            <w:r>
              <w:rPr>
                <w:rFonts w:hint="eastAsia" w:ascii="宋体" w:hAnsi="宋体" w:eastAsia="宋体" w:cs="宋体"/>
                <w:color w:val="auto"/>
                <w:sz w:val="21"/>
                <w:szCs w:val="21"/>
                <w:lang w:val="zh-CN"/>
              </w:rPr>
              <w:t>m</w:t>
            </w:r>
            <w:r>
              <w:rPr>
                <w:rFonts w:hint="eastAsia" w:ascii="宋体" w:hAnsi="宋体" w:eastAsia="宋体" w:cs="宋体"/>
                <w:color w:val="auto"/>
                <w:sz w:val="21"/>
                <w:szCs w:val="21"/>
                <w:vertAlign w:val="superscript"/>
                <w:lang w:val="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4" w:type="dxa"/>
            <w:vMerge w:val="restart"/>
            <w:vAlign w:val="center"/>
          </w:tcPr>
          <w:p>
            <w:pPr>
              <w:widowControl w:val="0"/>
              <w:numPr>
                <w:ilvl w:val="0"/>
                <w:numId w:val="0"/>
              </w:numPr>
              <w:spacing w:line="240" w:lineRule="auto"/>
              <w:jc w:val="center"/>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矿区范围</w:t>
            </w:r>
          </w:p>
          <w:p>
            <w:pPr>
              <w:autoSpaceDE w:val="0"/>
              <w:autoSpaceDN w:val="0"/>
              <w:spacing w:line="240" w:lineRule="auto"/>
              <w:ind w:firstLine="0" w:firstLineChars="0"/>
              <w:jc w:val="center"/>
              <w:rPr>
                <w:rFonts w:hint="eastAsia" w:ascii="宋体" w:hAnsi="宋体" w:eastAsia="宋体" w:cs="宋体"/>
                <w:color w:val="auto"/>
                <w:sz w:val="21"/>
                <w:szCs w:val="21"/>
                <w:lang w:val="zh-CN"/>
              </w:rPr>
            </w:pPr>
            <w:r>
              <w:rPr>
                <w:rFonts w:hint="eastAsia" w:ascii="宋体" w:hAnsi="宋体" w:eastAsia="宋体" w:cs="宋体"/>
                <w:b w:val="0"/>
                <w:bCs w:val="0"/>
                <w:color w:val="auto"/>
                <w:sz w:val="21"/>
                <w:szCs w:val="21"/>
                <w:vertAlign w:val="baseline"/>
                <w:lang w:val="en-US" w:eastAsia="zh-CN"/>
              </w:rPr>
              <w:t>拐点坐标</w:t>
            </w:r>
          </w:p>
        </w:tc>
        <w:tc>
          <w:tcPr>
            <w:tcW w:w="6744" w:type="dxa"/>
            <w:gridSpan w:val="5"/>
            <w:vAlign w:val="center"/>
          </w:tcPr>
          <w:p>
            <w:pPr>
              <w:autoSpaceDE w:val="0"/>
              <w:autoSpaceDN w:val="0"/>
              <w:spacing w:line="240" w:lineRule="auto"/>
              <w:ind w:firstLine="0" w:firstLineChars="0"/>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2000国家大地坐标系（3度带）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4" w:type="dxa"/>
            <w:vMerge w:val="continue"/>
            <w:vAlign w:val="center"/>
          </w:tcPr>
          <w:p>
            <w:pPr>
              <w:autoSpaceDE w:val="0"/>
              <w:autoSpaceDN w:val="0"/>
              <w:spacing w:line="240" w:lineRule="auto"/>
              <w:ind w:firstLine="0" w:firstLineChars="0"/>
              <w:jc w:val="center"/>
              <w:rPr>
                <w:rFonts w:hint="eastAsia" w:ascii="宋体" w:hAnsi="宋体" w:eastAsia="宋体" w:cs="宋体"/>
                <w:b w:val="0"/>
                <w:bCs w:val="0"/>
                <w:color w:val="auto"/>
                <w:sz w:val="21"/>
                <w:szCs w:val="21"/>
                <w:vertAlign w:val="baseline"/>
                <w:lang w:val="en-US" w:eastAsia="zh-CN"/>
              </w:rPr>
            </w:pPr>
          </w:p>
        </w:tc>
        <w:tc>
          <w:tcPr>
            <w:tcW w:w="1201" w:type="dxa"/>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编号</w:t>
            </w:r>
          </w:p>
        </w:tc>
        <w:tc>
          <w:tcPr>
            <w:tcW w:w="2815" w:type="dxa"/>
            <w:gridSpan w:val="2"/>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X</w:t>
            </w:r>
          </w:p>
        </w:tc>
        <w:tc>
          <w:tcPr>
            <w:tcW w:w="2728" w:type="dxa"/>
            <w:gridSpan w:val="2"/>
            <w:vAlign w:val="center"/>
          </w:tcPr>
          <w:p>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rPr>
              <w:t>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4" w:type="dxa"/>
            <w:vMerge w:val="continue"/>
            <w:vAlign w:val="center"/>
          </w:tcPr>
          <w:p>
            <w:pPr>
              <w:autoSpaceDE w:val="0"/>
              <w:autoSpaceDN w:val="0"/>
              <w:spacing w:line="240" w:lineRule="auto"/>
              <w:ind w:firstLine="0" w:firstLineChars="0"/>
              <w:jc w:val="center"/>
              <w:rPr>
                <w:rFonts w:hint="eastAsia" w:ascii="宋体" w:hAnsi="宋体" w:eastAsia="宋体" w:cs="宋体"/>
                <w:b w:val="0"/>
                <w:bCs w:val="0"/>
                <w:color w:val="auto"/>
                <w:sz w:val="21"/>
                <w:szCs w:val="21"/>
                <w:vertAlign w:val="baseline"/>
                <w:lang w:val="en-US" w:eastAsia="zh-CN"/>
              </w:rPr>
            </w:pPr>
          </w:p>
        </w:tc>
        <w:tc>
          <w:tcPr>
            <w:tcW w:w="1201" w:type="dxa"/>
            <w:vAlign w:val="center"/>
          </w:tcPr>
          <w:p>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w:t>
            </w:r>
          </w:p>
        </w:tc>
        <w:tc>
          <w:tcPr>
            <w:tcW w:w="2815" w:type="dxa"/>
            <w:gridSpan w:val="2"/>
            <w:vAlign w:val="center"/>
          </w:tcPr>
          <w:p>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center"/>
              <w:rPr>
                <w:rFonts w:hint="eastAsia" w:ascii="宋体" w:hAnsi="宋体" w:eastAsia="宋体" w:cs="宋体"/>
                <w:color w:val="auto"/>
                <w:kern w:val="2"/>
                <w:sz w:val="21"/>
                <w:szCs w:val="21"/>
                <w:lang w:val="zh-CN" w:eastAsia="zh-CN" w:bidi="ar-SA"/>
              </w:rPr>
            </w:pPr>
            <w:r>
              <w:rPr>
                <w:rFonts w:hint="eastAsia" w:ascii="宋体" w:hAnsi="宋体" w:eastAsia="宋体" w:cs="宋体"/>
                <w:color w:val="auto"/>
                <w:sz w:val="21"/>
                <w:szCs w:val="21"/>
              </w:rPr>
              <w:t>4649516.0794</w:t>
            </w:r>
          </w:p>
        </w:tc>
        <w:tc>
          <w:tcPr>
            <w:tcW w:w="2728" w:type="dxa"/>
            <w:gridSpan w:val="2"/>
            <w:vAlign w:val="center"/>
          </w:tcPr>
          <w:p>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center"/>
              <w:rPr>
                <w:rFonts w:hint="eastAsia" w:ascii="宋体" w:hAnsi="宋体" w:eastAsia="宋体" w:cs="宋体"/>
                <w:color w:val="auto"/>
                <w:sz w:val="21"/>
                <w:szCs w:val="21"/>
                <w:lang w:val="zh-CN"/>
              </w:rPr>
            </w:pPr>
            <w:r>
              <w:rPr>
                <w:rFonts w:hint="eastAsia" w:ascii="宋体" w:hAnsi="宋体" w:eastAsia="宋体" w:cs="宋体"/>
                <w:color w:val="auto"/>
                <w:sz w:val="21"/>
                <w:szCs w:val="21"/>
              </w:rPr>
              <w:t>40430803.3986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4" w:type="dxa"/>
            <w:vMerge w:val="continue"/>
            <w:vAlign w:val="center"/>
          </w:tcPr>
          <w:p>
            <w:pPr>
              <w:autoSpaceDE w:val="0"/>
              <w:autoSpaceDN w:val="0"/>
              <w:spacing w:line="240" w:lineRule="auto"/>
              <w:ind w:firstLine="0" w:firstLineChars="0"/>
              <w:jc w:val="center"/>
              <w:rPr>
                <w:rFonts w:hint="eastAsia" w:ascii="宋体" w:hAnsi="宋体" w:eastAsia="宋体" w:cs="宋体"/>
                <w:b w:val="0"/>
                <w:bCs w:val="0"/>
                <w:color w:val="auto"/>
                <w:sz w:val="21"/>
                <w:szCs w:val="21"/>
                <w:vertAlign w:val="baseline"/>
                <w:lang w:val="en-US" w:eastAsia="zh-CN"/>
              </w:rPr>
            </w:pPr>
          </w:p>
        </w:tc>
        <w:tc>
          <w:tcPr>
            <w:tcW w:w="1201" w:type="dxa"/>
            <w:vAlign w:val="center"/>
          </w:tcPr>
          <w:p>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w:t>
            </w:r>
          </w:p>
        </w:tc>
        <w:tc>
          <w:tcPr>
            <w:tcW w:w="2815" w:type="dxa"/>
            <w:gridSpan w:val="2"/>
            <w:vAlign w:val="center"/>
          </w:tcPr>
          <w:p>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center"/>
              <w:rPr>
                <w:rFonts w:hint="eastAsia" w:ascii="宋体" w:hAnsi="宋体" w:eastAsia="宋体" w:cs="宋体"/>
                <w:color w:val="auto"/>
                <w:kern w:val="2"/>
                <w:sz w:val="21"/>
                <w:szCs w:val="21"/>
                <w:lang w:val="zh-CN" w:eastAsia="zh-CN" w:bidi="ar-SA"/>
              </w:rPr>
            </w:pPr>
            <w:r>
              <w:rPr>
                <w:rFonts w:hint="eastAsia" w:ascii="宋体" w:hAnsi="宋体" w:eastAsia="宋体" w:cs="宋体"/>
                <w:color w:val="auto"/>
                <w:sz w:val="21"/>
                <w:szCs w:val="21"/>
              </w:rPr>
              <w:t>4649452.6796</w:t>
            </w:r>
          </w:p>
        </w:tc>
        <w:tc>
          <w:tcPr>
            <w:tcW w:w="2728" w:type="dxa"/>
            <w:gridSpan w:val="2"/>
            <w:vAlign w:val="center"/>
          </w:tcPr>
          <w:p>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center"/>
              <w:rPr>
                <w:rFonts w:hint="eastAsia" w:ascii="宋体" w:hAnsi="宋体" w:eastAsia="宋体" w:cs="宋体"/>
                <w:color w:val="auto"/>
                <w:sz w:val="21"/>
                <w:szCs w:val="21"/>
                <w:lang w:val="zh-CN"/>
              </w:rPr>
            </w:pPr>
            <w:r>
              <w:rPr>
                <w:rFonts w:hint="eastAsia" w:ascii="宋体" w:hAnsi="宋体" w:eastAsia="宋体" w:cs="宋体"/>
                <w:color w:val="auto"/>
                <w:sz w:val="21"/>
                <w:szCs w:val="21"/>
              </w:rPr>
              <w:t>40430986.9992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4" w:type="dxa"/>
            <w:vMerge w:val="continue"/>
            <w:vAlign w:val="center"/>
          </w:tcPr>
          <w:p>
            <w:pPr>
              <w:autoSpaceDE w:val="0"/>
              <w:autoSpaceDN w:val="0"/>
              <w:spacing w:line="240" w:lineRule="auto"/>
              <w:ind w:firstLine="0" w:firstLineChars="0"/>
              <w:jc w:val="center"/>
              <w:rPr>
                <w:rFonts w:hint="eastAsia" w:ascii="宋体" w:hAnsi="宋体" w:eastAsia="宋体" w:cs="宋体"/>
                <w:b w:val="0"/>
                <w:bCs w:val="0"/>
                <w:color w:val="auto"/>
                <w:sz w:val="21"/>
                <w:szCs w:val="21"/>
                <w:vertAlign w:val="baseline"/>
                <w:lang w:val="en-US" w:eastAsia="zh-CN"/>
              </w:rPr>
            </w:pPr>
          </w:p>
        </w:tc>
        <w:tc>
          <w:tcPr>
            <w:tcW w:w="1201" w:type="dxa"/>
            <w:vAlign w:val="center"/>
          </w:tcPr>
          <w:p>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w:t>
            </w:r>
          </w:p>
        </w:tc>
        <w:tc>
          <w:tcPr>
            <w:tcW w:w="2815" w:type="dxa"/>
            <w:gridSpan w:val="2"/>
            <w:vAlign w:val="center"/>
          </w:tcPr>
          <w:p>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center"/>
              <w:rPr>
                <w:rFonts w:hint="eastAsia" w:ascii="宋体" w:hAnsi="宋体" w:eastAsia="宋体" w:cs="宋体"/>
                <w:color w:val="auto"/>
                <w:kern w:val="2"/>
                <w:sz w:val="21"/>
                <w:szCs w:val="21"/>
                <w:lang w:val="zh-CN" w:eastAsia="zh-CN" w:bidi="ar-SA"/>
              </w:rPr>
            </w:pPr>
            <w:r>
              <w:rPr>
                <w:rFonts w:hint="eastAsia" w:ascii="宋体" w:hAnsi="宋体" w:eastAsia="宋体" w:cs="宋体"/>
                <w:color w:val="auto"/>
                <w:sz w:val="21"/>
                <w:szCs w:val="21"/>
              </w:rPr>
              <w:t>4649543.8801</w:t>
            </w:r>
          </w:p>
        </w:tc>
        <w:tc>
          <w:tcPr>
            <w:tcW w:w="2728" w:type="dxa"/>
            <w:gridSpan w:val="2"/>
            <w:vAlign w:val="center"/>
          </w:tcPr>
          <w:p>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center"/>
              <w:rPr>
                <w:rFonts w:hint="eastAsia" w:ascii="宋体" w:hAnsi="宋体" w:eastAsia="宋体" w:cs="宋体"/>
                <w:color w:val="auto"/>
                <w:sz w:val="21"/>
                <w:szCs w:val="21"/>
                <w:lang w:val="zh-CN"/>
              </w:rPr>
            </w:pPr>
            <w:r>
              <w:rPr>
                <w:rFonts w:hint="eastAsia" w:ascii="宋体" w:hAnsi="宋体" w:eastAsia="宋体" w:cs="宋体"/>
                <w:color w:val="auto"/>
                <w:sz w:val="21"/>
                <w:szCs w:val="21"/>
              </w:rPr>
              <w:t>40431126.0993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4" w:type="dxa"/>
            <w:vMerge w:val="continue"/>
            <w:vAlign w:val="center"/>
          </w:tcPr>
          <w:p>
            <w:pPr>
              <w:autoSpaceDE w:val="0"/>
              <w:autoSpaceDN w:val="0"/>
              <w:spacing w:line="240" w:lineRule="auto"/>
              <w:ind w:firstLine="0" w:firstLineChars="0"/>
              <w:jc w:val="center"/>
              <w:rPr>
                <w:rFonts w:hint="eastAsia" w:ascii="宋体" w:hAnsi="宋体" w:eastAsia="宋体" w:cs="宋体"/>
                <w:b w:val="0"/>
                <w:bCs w:val="0"/>
                <w:color w:val="auto"/>
                <w:sz w:val="21"/>
                <w:szCs w:val="21"/>
                <w:vertAlign w:val="baseline"/>
                <w:lang w:val="en-US" w:eastAsia="zh-CN"/>
              </w:rPr>
            </w:pPr>
          </w:p>
        </w:tc>
        <w:tc>
          <w:tcPr>
            <w:tcW w:w="1201" w:type="dxa"/>
            <w:vAlign w:val="center"/>
          </w:tcPr>
          <w:p>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w:t>
            </w:r>
          </w:p>
        </w:tc>
        <w:tc>
          <w:tcPr>
            <w:tcW w:w="2815" w:type="dxa"/>
            <w:gridSpan w:val="2"/>
            <w:vAlign w:val="center"/>
          </w:tcPr>
          <w:p>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center"/>
              <w:rPr>
                <w:rFonts w:hint="eastAsia" w:ascii="宋体" w:hAnsi="宋体" w:eastAsia="宋体" w:cs="宋体"/>
                <w:color w:val="auto"/>
                <w:kern w:val="2"/>
                <w:sz w:val="21"/>
                <w:szCs w:val="21"/>
                <w:lang w:val="zh-CN" w:eastAsia="zh-CN" w:bidi="ar-SA"/>
              </w:rPr>
            </w:pPr>
            <w:r>
              <w:rPr>
                <w:rFonts w:hint="eastAsia" w:ascii="宋体" w:hAnsi="宋体" w:eastAsia="宋体" w:cs="宋体"/>
                <w:color w:val="auto"/>
                <w:sz w:val="21"/>
                <w:szCs w:val="21"/>
              </w:rPr>
              <w:t>4649541.8805</w:t>
            </w:r>
          </w:p>
        </w:tc>
        <w:tc>
          <w:tcPr>
            <w:tcW w:w="2728" w:type="dxa"/>
            <w:gridSpan w:val="2"/>
            <w:vAlign w:val="center"/>
          </w:tcPr>
          <w:p>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center"/>
              <w:rPr>
                <w:rFonts w:hint="eastAsia" w:ascii="宋体" w:hAnsi="宋体" w:eastAsia="宋体" w:cs="宋体"/>
                <w:color w:val="auto"/>
                <w:sz w:val="21"/>
                <w:szCs w:val="21"/>
                <w:lang w:val="zh-CN"/>
              </w:rPr>
            </w:pPr>
            <w:r>
              <w:rPr>
                <w:rFonts w:hint="eastAsia" w:ascii="宋体" w:hAnsi="宋体" w:eastAsia="宋体" w:cs="宋体"/>
                <w:color w:val="auto"/>
                <w:sz w:val="21"/>
                <w:szCs w:val="21"/>
              </w:rPr>
              <w:t>40431333.2997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4" w:type="dxa"/>
            <w:vMerge w:val="continue"/>
            <w:vAlign w:val="center"/>
          </w:tcPr>
          <w:p>
            <w:pPr>
              <w:autoSpaceDE w:val="0"/>
              <w:autoSpaceDN w:val="0"/>
              <w:spacing w:line="240" w:lineRule="auto"/>
              <w:ind w:firstLine="0" w:firstLineChars="0"/>
              <w:jc w:val="center"/>
              <w:rPr>
                <w:rFonts w:hint="eastAsia" w:ascii="宋体" w:hAnsi="宋体" w:eastAsia="宋体" w:cs="宋体"/>
                <w:b w:val="0"/>
                <w:bCs w:val="0"/>
                <w:color w:val="auto"/>
                <w:sz w:val="21"/>
                <w:szCs w:val="21"/>
                <w:vertAlign w:val="baseline"/>
                <w:lang w:val="en-US" w:eastAsia="zh-CN"/>
              </w:rPr>
            </w:pPr>
          </w:p>
        </w:tc>
        <w:tc>
          <w:tcPr>
            <w:tcW w:w="1201" w:type="dxa"/>
            <w:vAlign w:val="center"/>
          </w:tcPr>
          <w:p>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w:t>
            </w:r>
          </w:p>
        </w:tc>
        <w:tc>
          <w:tcPr>
            <w:tcW w:w="2815" w:type="dxa"/>
            <w:gridSpan w:val="2"/>
            <w:vAlign w:val="center"/>
          </w:tcPr>
          <w:p>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center"/>
              <w:rPr>
                <w:rFonts w:hint="eastAsia" w:ascii="宋体" w:hAnsi="宋体" w:eastAsia="宋体" w:cs="宋体"/>
                <w:color w:val="auto"/>
                <w:kern w:val="2"/>
                <w:sz w:val="21"/>
                <w:szCs w:val="21"/>
                <w:lang w:val="zh-CN" w:eastAsia="zh-CN" w:bidi="ar-SA"/>
              </w:rPr>
            </w:pPr>
            <w:r>
              <w:rPr>
                <w:rFonts w:hint="eastAsia" w:ascii="宋体" w:hAnsi="宋体" w:eastAsia="宋体" w:cs="宋体"/>
                <w:color w:val="auto"/>
                <w:sz w:val="21"/>
                <w:szCs w:val="21"/>
              </w:rPr>
              <w:t>4649295.0800</w:t>
            </w:r>
          </w:p>
        </w:tc>
        <w:tc>
          <w:tcPr>
            <w:tcW w:w="2728" w:type="dxa"/>
            <w:gridSpan w:val="2"/>
            <w:vAlign w:val="center"/>
          </w:tcPr>
          <w:p>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center"/>
              <w:rPr>
                <w:rFonts w:hint="eastAsia" w:ascii="宋体" w:hAnsi="宋体" w:eastAsia="宋体" w:cs="宋体"/>
                <w:color w:val="auto"/>
                <w:sz w:val="21"/>
                <w:szCs w:val="21"/>
                <w:lang w:val="zh-CN"/>
              </w:rPr>
            </w:pPr>
            <w:r>
              <w:rPr>
                <w:rFonts w:hint="eastAsia" w:ascii="宋体" w:hAnsi="宋体" w:eastAsia="宋体" w:cs="宋体"/>
                <w:color w:val="auto"/>
                <w:sz w:val="21"/>
                <w:szCs w:val="21"/>
              </w:rPr>
              <w:t>40431330.9003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4" w:type="dxa"/>
            <w:vMerge w:val="continue"/>
            <w:vAlign w:val="center"/>
          </w:tcPr>
          <w:p>
            <w:pPr>
              <w:autoSpaceDE w:val="0"/>
              <w:autoSpaceDN w:val="0"/>
              <w:spacing w:line="240" w:lineRule="auto"/>
              <w:ind w:firstLine="0" w:firstLineChars="0"/>
              <w:jc w:val="center"/>
              <w:rPr>
                <w:rFonts w:hint="eastAsia" w:ascii="宋体" w:hAnsi="宋体" w:eastAsia="宋体" w:cs="宋体"/>
                <w:b w:val="0"/>
                <w:bCs w:val="0"/>
                <w:color w:val="auto"/>
                <w:sz w:val="21"/>
                <w:szCs w:val="21"/>
                <w:vertAlign w:val="baseline"/>
                <w:lang w:val="en-US" w:eastAsia="zh-CN"/>
              </w:rPr>
            </w:pPr>
          </w:p>
        </w:tc>
        <w:tc>
          <w:tcPr>
            <w:tcW w:w="1201" w:type="dxa"/>
            <w:vAlign w:val="center"/>
          </w:tcPr>
          <w:p>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w:t>
            </w:r>
          </w:p>
        </w:tc>
        <w:tc>
          <w:tcPr>
            <w:tcW w:w="2815" w:type="dxa"/>
            <w:gridSpan w:val="2"/>
            <w:vAlign w:val="center"/>
          </w:tcPr>
          <w:p>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center"/>
              <w:rPr>
                <w:rFonts w:hint="eastAsia" w:ascii="宋体" w:hAnsi="宋体" w:eastAsia="宋体" w:cs="宋体"/>
                <w:color w:val="auto"/>
                <w:kern w:val="2"/>
                <w:sz w:val="21"/>
                <w:szCs w:val="21"/>
                <w:lang w:val="zh-CN" w:eastAsia="zh-CN" w:bidi="ar-SA"/>
              </w:rPr>
            </w:pPr>
            <w:r>
              <w:rPr>
                <w:rFonts w:hint="eastAsia" w:ascii="宋体" w:hAnsi="宋体" w:eastAsia="宋体" w:cs="宋体"/>
                <w:color w:val="auto"/>
                <w:sz w:val="21"/>
                <w:szCs w:val="21"/>
              </w:rPr>
              <w:t>4649297.2795</w:t>
            </w:r>
          </w:p>
        </w:tc>
        <w:tc>
          <w:tcPr>
            <w:tcW w:w="2728" w:type="dxa"/>
            <w:gridSpan w:val="2"/>
            <w:vAlign w:val="center"/>
          </w:tcPr>
          <w:p>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center"/>
              <w:rPr>
                <w:rFonts w:hint="eastAsia" w:ascii="宋体" w:hAnsi="宋体" w:eastAsia="宋体" w:cs="宋体"/>
                <w:color w:val="auto"/>
                <w:sz w:val="21"/>
                <w:szCs w:val="21"/>
                <w:lang w:val="zh-CN"/>
              </w:rPr>
            </w:pPr>
            <w:r>
              <w:rPr>
                <w:rFonts w:hint="eastAsia" w:ascii="宋体" w:hAnsi="宋体" w:eastAsia="宋体" w:cs="宋体"/>
                <w:color w:val="auto"/>
                <w:sz w:val="21"/>
                <w:szCs w:val="21"/>
              </w:rPr>
              <w:t>40431100.5998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4" w:type="dxa"/>
            <w:vMerge w:val="continue"/>
            <w:vAlign w:val="center"/>
          </w:tcPr>
          <w:p>
            <w:pPr>
              <w:autoSpaceDE w:val="0"/>
              <w:autoSpaceDN w:val="0"/>
              <w:spacing w:line="240" w:lineRule="auto"/>
              <w:ind w:firstLine="0" w:firstLineChars="0"/>
              <w:jc w:val="center"/>
              <w:rPr>
                <w:rFonts w:hint="eastAsia" w:ascii="宋体" w:hAnsi="宋体" w:eastAsia="宋体" w:cs="宋体"/>
                <w:b w:val="0"/>
                <w:bCs w:val="0"/>
                <w:color w:val="auto"/>
                <w:sz w:val="21"/>
                <w:szCs w:val="21"/>
                <w:vertAlign w:val="baseline"/>
                <w:lang w:val="en-US" w:eastAsia="zh-CN"/>
              </w:rPr>
            </w:pPr>
          </w:p>
        </w:tc>
        <w:tc>
          <w:tcPr>
            <w:tcW w:w="1201" w:type="dxa"/>
            <w:vAlign w:val="center"/>
          </w:tcPr>
          <w:p>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7</w:t>
            </w:r>
          </w:p>
        </w:tc>
        <w:tc>
          <w:tcPr>
            <w:tcW w:w="2815" w:type="dxa"/>
            <w:gridSpan w:val="2"/>
            <w:vAlign w:val="center"/>
          </w:tcPr>
          <w:p>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center"/>
              <w:rPr>
                <w:rFonts w:hint="eastAsia" w:ascii="宋体" w:hAnsi="宋体" w:eastAsia="宋体" w:cs="宋体"/>
                <w:color w:val="auto"/>
                <w:kern w:val="2"/>
                <w:sz w:val="21"/>
                <w:szCs w:val="21"/>
                <w:lang w:val="zh-CN" w:eastAsia="zh-CN" w:bidi="ar-SA"/>
              </w:rPr>
            </w:pPr>
            <w:r>
              <w:rPr>
                <w:rFonts w:hint="eastAsia" w:ascii="宋体" w:hAnsi="宋体" w:eastAsia="宋体" w:cs="宋体"/>
                <w:color w:val="auto"/>
                <w:sz w:val="21"/>
                <w:szCs w:val="21"/>
              </w:rPr>
              <w:t>4649390.4796</w:t>
            </w:r>
          </w:p>
        </w:tc>
        <w:tc>
          <w:tcPr>
            <w:tcW w:w="2728" w:type="dxa"/>
            <w:gridSpan w:val="2"/>
            <w:vAlign w:val="center"/>
          </w:tcPr>
          <w:p>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center"/>
              <w:rPr>
                <w:rFonts w:hint="eastAsia" w:ascii="宋体" w:hAnsi="宋体" w:eastAsia="宋体" w:cs="宋体"/>
                <w:color w:val="auto"/>
                <w:sz w:val="21"/>
                <w:szCs w:val="21"/>
                <w:lang w:val="zh-CN"/>
              </w:rPr>
            </w:pPr>
            <w:r>
              <w:rPr>
                <w:rFonts w:hint="eastAsia" w:ascii="宋体" w:hAnsi="宋体" w:eastAsia="宋体" w:cs="宋体"/>
                <w:color w:val="auto"/>
                <w:sz w:val="21"/>
                <w:szCs w:val="21"/>
              </w:rPr>
              <w:t>40431032.4994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4" w:type="dxa"/>
            <w:vMerge w:val="continue"/>
            <w:vAlign w:val="center"/>
          </w:tcPr>
          <w:p>
            <w:pPr>
              <w:autoSpaceDE w:val="0"/>
              <w:autoSpaceDN w:val="0"/>
              <w:spacing w:line="240" w:lineRule="auto"/>
              <w:ind w:firstLine="0" w:firstLineChars="0"/>
              <w:jc w:val="center"/>
              <w:rPr>
                <w:rFonts w:hint="eastAsia" w:ascii="宋体" w:hAnsi="宋体" w:eastAsia="宋体" w:cs="宋体"/>
                <w:b w:val="0"/>
                <w:bCs w:val="0"/>
                <w:color w:val="auto"/>
                <w:sz w:val="21"/>
                <w:szCs w:val="21"/>
                <w:vertAlign w:val="baseline"/>
                <w:lang w:val="en-US" w:eastAsia="zh-CN"/>
              </w:rPr>
            </w:pPr>
          </w:p>
        </w:tc>
        <w:tc>
          <w:tcPr>
            <w:tcW w:w="1201" w:type="dxa"/>
            <w:vAlign w:val="center"/>
          </w:tcPr>
          <w:p>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8</w:t>
            </w:r>
          </w:p>
        </w:tc>
        <w:tc>
          <w:tcPr>
            <w:tcW w:w="2815" w:type="dxa"/>
            <w:gridSpan w:val="2"/>
            <w:vAlign w:val="center"/>
          </w:tcPr>
          <w:p>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center"/>
              <w:rPr>
                <w:rFonts w:hint="eastAsia" w:ascii="宋体" w:hAnsi="宋体" w:eastAsia="宋体" w:cs="宋体"/>
                <w:color w:val="auto"/>
                <w:kern w:val="2"/>
                <w:sz w:val="21"/>
                <w:szCs w:val="21"/>
                <w:lang w:val="zh-CN" w:eastAsia="zh-CN" w:bidi="ar-SA"/>
              </w:rPr>
            </w:pPr>
            <w:r>
              <w:rPr>
                <w:rFonts w:hint="eastAsia" w:ascii="宋体" w:hAnsi="宋体" w:eastAsia="宋体" w:cs="宋体"/>
                <w:color w:val="auto"/>
                <w:sz w:val="21"/>
                <w:szCs w:val="21"/>
              </w:rPr>
              <w:t>4649382.6971</w:t>
            </w:r>
          </w:p>
        </w:tc>
        <w:tc>
          <w:tcPr>
            <w:tcW w:w="2728" w:type="dxa"/>
            <w:gridSpan w:val="2"/>
            <w:vAlign w:val="center"/>
          </w:tcPr>
          <w:p>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center"/>
              <w:rPr>
                <w:rFonts w:hint="eastAsia" w:ascii="宋体" w:hAnsi="宋体" w:eastAsia="宋体" w:cs="宋体"/>
                <w:color w:val="auto"/>
                <w:sz w:val="21"/>
                <w:szCs w:val="21"/>
                <w:lang w:val="zh-CN"/>
              </w:rPr>
            </w:pPr>
            <w:r>
              <w:rPr>
                <w:rFonts w:hint="eastAsia" w:ascii="宋体" w:hAnsi="宋体" w:eastAsia="宋体" w:cs="宋体"/>
                <w:color w:val="auto"/>
                <w:sz w:val="21"/>
                <w:szCs w:val="21"/>
              </w:rPr>
              <w:t>40430802.1989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4" w:type="dxa"/>
            <w:vAlign w:val="center"/>
          </w:tcPr>
          <w:p>
            <w:pPr>
              <w:autoSpaceDE w:val="0"/>
              <w:autoSpaceDN w:val="0"/>
              <w:spacing w:line="240" w:lineRule="auto"/>
              <w:ind w:firstLine="0" w:firstLineChars="0"/>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基金计提</w:t>
            </w:r>
          </w:p>
        </w:tc>
        <w:tc>
          <w:tcPr>
            <w:tcW w:w="3204" w:type="dxa"/>
            <w:gridSpan w:val="2"/>
            <w:vAlign w:val="center"/>
          </w:tcPr>
          <w:p>
            <w:pPr>
              <w:autoSpaceDE w:val="0"/>
              <w:autoSpaceDN w:val="0"/>
              <w:spacing w:line="240" w:lineRule="auto"/>
              <w:ind w:firstLine="0" w:firstLineChars="0"/>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已计提0万元</w:t>
            </w:r>
          </w:p>
        </w:tc>
        <w:tc>
          <w:tcPr>
            <w:tcW w:w="1568" w:type="dxa"/>
            <w:gridSpan w:val="2"/>
            <w:vAlign w:val="center"/>
          </w:tcPr>
          <w:p>
            <w:pPr>
              <w:autoSpaceDE w:val="0"/>
              <w:autoSpaceDN w:val="0"/>
              <w:spacing w:line="240" w:lineRule="auto"/>
              <w:ind w:firstLine="0" w:firstLineChars="0"/>
              <w:jc w:val="center"/>
              <w:textAlignment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基金使用</w:t>
            </w:r>
          </w:p>
        </w:tc>
        <w:tc>
          <w:tcPr>
            <w:tcW w:w="1972" w:type="dxa"/>
            <w:vAlign w:val="center"/>
          </w:tcPr>
          <w:p>
            <w:pPr>
              <w:autoSpaceDE w:val="0"/>
              <w:autoSpaceDN w:val="0"/>
              <w:spacing w:line="240" w:lineRule="auto"/>
              <w:ind w:firstLine="0" w:firstLineChars="0"/>
              <w:jc w:val="center"/>
              <w:textAlignment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未使用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88" w:type="dxa"/>
            <w:gridSpan w:val="6"/>
            <w:vAlign w:val="center"/>
          </w:tcPr>
          <w:p>
            <w:pPr>
              <w:autoSpaceDE w:val="0"/>
              <w:autoSpaceDN w:val="0"/>
              <w:spacing w:line="240" w:lineRule="auto"/>
              <w:ind w:firstLine="0" w:firstLineChars="0"/>
              <w:jc w:val="center"/>
              <w:rPr>
                <w:rFonts w:hint="eastAsia" w:ascii="宋体" w:hAnsi="宋体" w:eastAsia="宋体" w:cs="宋体"/>
                <w:b/>
                <w:color w:val="auto"/>
                <w:sz w:val="21"/>
                <w:szCs w:val="21"/>
                <w:lang w:val="zh-CN"/>
              </w:rPr>
            </w:pPr>
            <w:r>
              <w:rPr>
                <w:rFonts w:hint="eastAsia" w:ascii="宋体" w:hAnsi="宋体" w:eastAsia="宋体" w:cs="宋体"/>
                <w:b/>
                <w:color w:val="auto"/>
                <w:sz w:val="21"/>
                <w:szCs w:val="21"/>
                <w:lang w:val="zh-CN"/>
              </w:rPr>
              <w:t>矿山企业联系方式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4" w:type="dxa"/>
            <w:vAlign w:val="center"/>
          </w:tcPr>
          <w:p>
            <w:pPr>
              <w:autoSpaceDE w:val="0"/>
              <w:autoSpaceDN w:val="0"/>
              <w:spacing w:line="240" w:lineRule="auto"/>
              <w:ind w:firstLine="0" w:firstLineChars="0"/>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联系人</w:t>
            </w:r>
          </w:p>
        </w:tc>
        <w:tc>
          <w:tcPr>
            <w:tcW w:w="3204" w:type="dxa"/>
            <w:gridSpan w:val="2"/>
            <w:vAlign w:val="center"/>
          </w:tcPr>
          <w:p>
            <w:pPr>
              <w:autoSpaceDE w:val="0"/>
              <w:autoSpaceDN w:val="0"/>
              <w:spacing w:line="240" w:lineRule="auto"/>
              <w:ind w:firstLine="0" w:firstLineChars="0"/>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江</w:t>
            </w:r>
            <w:r>
              <w:rPr>
                <w:rFonts w:hint="eastAsia" w:ascii="宋体" w:hAnsi="宋体" w:cs="宋体"/>
                <w:color w:val="auto"/>
                <w:sz w:val="21"/>
                <w:szCs w:val="21"/>
                <w:lang w:val="en-US" w:eastAsia="zh-CN"/>
              </w:rPr>
              <w:t>先生</w:t>
            </w:r>
          </w:p>
        </w:tc>
        <w:tc>
          <w:tcPr>
            <w:tcW w:w="1568" w:type="dxa"/>
            <w:gridSpan w:val="2"/>
            <w:vAlign w:val="center"/>
          </w:tcPr>
          <w:p>
            <w:pPr>
              <w:autoSpaceDE w:val="0"/>
              <w:autoSpaceDN w:val="0"/>
              <w:spacing w:line="240" w:lineRule="auto"/>
              <w:ind w:firstLine="0" w:firstLineChars="0"/>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手机号</w:t>
            </w:r>
          </w:p>
        </w:tc>
        <w:tc>
          <w:tcPr>
            <w:tcW w:w="1972" w:type="dxa"/>
            <w:vAlign w:val="center"/>
          </w:tcPr>
          <w:p>
            <w:pPr>
              <w:autoSpaceDE w:val="0"/>
              <w:autoSpaceDN w:val="0"/>
              <w:spacing w:line="240" w:lineRule="auto"/>
              <w:ind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15848899273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4" w:type="dxa"/>
            <w:vAlign w:val="center"/>
          </w:tcPr>
          <w:p>
            <w:pPr>
              <w:autoSpaceDE w:val="0"/>
              <w:autoSpaceDN w:val="0"/>
              <w:spacing w:line="240" w:lineRule="auto"/>
              <w:ind w:firstLine="0" w:firstLineChars="0"/>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通讯地址</w:t>
            </w:r>
          </w:p>
        </w:tc>
        <w:tc>
          <w:tcPr>
            <w:tcW w:w="3204" w:type="dxa"/>
            <w:gridSpan w:val="2"/>
            <w:vAlign w:val="center"/>
          </w:tcPr>
          <w:p>
            <w:pPr>
              <w:autoSpaceDE w:val="0"/>
              <w:autoSpaceDN w:val="0"/>
              <w:spacing w:line="240" w:lineRule="auto"/>
              <w:ind w:firstLine="0" w:firstLineChars="0"/>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rPr>
              <w:t>赤峰市元宝山区平庄镇</w:t>
            </w:r>
          </w:p>
        </w:tc>
        <w:tc>
          <w:tcPr>
            <w:tcW w:w="1568" w:type="dxa"/>
            <w:gridSpan w:val="2"/>
            <w:vAlign w:val="center"/>
          </w:tcPr>
          <w:p>
            <w:pPr>
              <w:autoSpaceDE w:val="0"/>
              <w:autoSpaceDN w:val="0"/>
              <w:spacing w:line="240" w:lineRule="auto"/>
              <w:ind w:firstLine="0" w:firstLineChars="0"/>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邮 编</w:t>
            </w:r>
          </w:p>
        </w:tc>
        <w:tc>
          <w:tcPr>
            <w:tcW w:w="1972" w:type="dxa"/>
            <w:vAlign w:val="center"/>
          </w:tcPr>
          <w:p>
            <w:pPr>
              <w:autoSpaceDE w:val="0"/>
              <w:autoSpaceDN w:val="0"/>
              <w:spacing w:line="240" w:lineRule="auto"/>
              <w:ind w:firstLine="0" w:firstLineChars="0"/>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024076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44" w:type="dxa"/>
            <w:vAlign w:val="center"/>
          </w:tcPr>
          <w:p>
            <w:pPr>
              <w:autoSpaceDE w:val="0"/>
              <w:autoSpaceDN w:val="0"/>
              <w:spacing w:line="240" w:lineRule="auto"/>
              <w:ind w:firstLine="0" w:firstLineChars="0"/>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固定电话</w:t>
            </w:r>
          </w:p>
        </w:tc>
        <w:tc>
          <w:tcPr>
            <w:tcW w:w="3204" w:type="dxa"/>
            <w:gridSpan w:val="2"/>
            <w:vAlign w:val="center"/>
          </w:tcPr>
          <w:p>
            <w:pPr>
              <w:autoSpaceDE w:val="0"/>
              <w:autoSpaceDN w:val="0"/>
              <w:spacing w:line="240" w:lineRule="auto"/>
              <w:ind w:firstLine="0" w:firstLineChars="0"/>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无</w:t>
            </w:r>
          </w:p>
        </w:tc>
        <w:tc>
          <w:tcPr>
            <w:tcW w:w="1568" w:type="dxa"/>
            <w:gridSpan w:val="2"/>
            <w:vAlign w:val="center"/>
          </w:tcPr>
          <w:p>
            <w:pPr>
              <w:autoSpaceDE w:val="0"/>
              <w:autoSpaceDN w:val="0"/>
              <w:spacing w:line="240" w:lineRule="auto"/>
              <w:ind w:firstLine="0" w:firstLineChars="0"/>
              <w:jc w:val="center"/>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E-mail</w:t>
            </w:r>
          </w:p>
        </w:tc>
        <w:tc>
          <w:tcPr>
            <w:tcW w:w="1972" w:type="dxa"/>
            <w:vAlign w:val="center"/>
          </w:tcPr>
          <w:p>
            <w:pPr>
              <w:autoSpaceDE w:val="0"/>
              <w:autoSpaceDN w:val="0"/>
              <w:spacing w:line="240" w:lineRule="auto"/>
              <w:ind w:firstLine="0" w:firstLineChars="0"/>
              <w:jc w:val="center"/>
              <w:rPr>
                <w:rFonts w:hint="eastAsia" w:ascii="宋体" w:hAnsi="宋体" w:eastAsia="宋体" w:cs="宋体"/>
                <w:color w:val="auto"/>
                <w:sz w:val="21"/>
                <w:szCs w:val="21"/>
                <w:lang w:val="zh-CN"/>
              </w:rPr>
            </w:pPr>
          </w:p>
        </w:tc>
      </w:tr>
    </w:tbl>
    <w:p>
      <w:pPr>
        <w:ind w:firstLine="0" w:firstLineChars="0"/>
        <w:rPr>
          <w:rFonts w:hint="eastAsia" w:ascii="宋体" w:hAnsi="宋体" w:eastAsia="宋体" w:cs="宋体"/>
          <w:color w:val="auto"/>
        </w:rPr>
      </w:pPr>
    </w:p>
    <w:p>
      <w:pPr>
        <w:pStyle w:val="4"/>
        <w:pageBreakBefore w:val="0"/>
        <w:adjustRightInd/>
        <w:snapToGrid/>
        <w:rPr>
          <w:rFonts w:hint="eastAsia" w:ascii="宋体" w:hAnsi="宋体" w:eastAsia="宋体" w:cs="宋体"/>
          <w:color w:val="auto"/>
          <w:sz w:val="36"/>
          <w:szCs w:val="36"/>
        </w:rPr>
      </w:pPr>
      <w:bookmarkStart w:id="13" w:name="_Toc22088"/>
      <w:r>
        <w:rPr>
          <w:rFonts w:hint="eastAsia" w:ascii="宋体" w:hAnsi="宋体" w:eastAsia="宋体" w:cs="宋体"/>
          <w:color w:val="auto"/>
          <w:sz w:val="32"/>
          <w:szCs w:val="32"/>
        </w:rPr>
        <w:t>二、矿山地质环境治理方案的编制与执行情况</w:t>
      </w:r>
      <w:bookmarkEnd w:id="13"/>
    </w:p>
    <w:p>
      <w:pPr>
        <w:pStyle w:val="5"/>
        <w:adjustRightInd/>
        <w:snapToGrid/>
        <w:spacing w:before="0"/>
        <w:jc w:val="both"/>
        <w:rPr>
          <w:rFonts w:hint="eastAsia" w:ascii="宋体" w:hAnsi="宋体" w:eastAsia="宋体" w:cs="宋体"/>
          <w:color w:val="auto"/>
        </w:rPr>
      </w:pPr>
      <w:bookmarkStart w:id="14" w:name="_Toc20537"/>
      <w:r>
        <w:rPr>
          <w:rFonts w:hint="eastAsia" w:ascii="宋体" w:hAnsi="宋体" w:eastAsia="宋体" w:cs="宋体"/>
          <w:color w:val="auto"/>
          <w:sz w:val="28"/>
          <w:szCs w:val="28"/>
        </w:rPr>
        <w:t>（一）方案编制概况</w:t>
      </w:r>
      <w:bookmarkEnd w:id="14"/>
    </w:p>
    <w:p>
      <w:pPr>
        <w:keepNext w:val="0"/>
        <w:keepLines w:val="0"/>
        <w:pageBreakBefore w:val="0"/>
        <w:widowControl w:val="0"/>
        <w:kinsoku/>
        <w:wordWrap/>
        <w:overflowPunct/>
        <w:topLinePunct w:val="0"/>
        <w:bidi w:val="0"/>
        <w:adjustRightInd w:val="0"/>
        <w:ind w:firstLine="480" w:firstLineChars="200"/>
        <w:jc w:val="left"/>
        <w:textAlignment w:val="auto"/>
        <w:rPr>
          <w:rFonts w:hint="eastAsia" w:ascii="宋体" w:hAnsi="宋体" w:eastAsia="宋体" w:cs="宋体"/>
          <w:color w:val="auto"/>
        </w:rPr>
      </w:pPr>
      <w:r>
        <w:rPr>
          <w:rFonts w:hint="eastAsia" w:ascii="宋体" w:hAnsi="宋体" w:eastAsia="宋体" w:cs="宋体"/>
          <w:color w:val="auto"/>
          <w:lang w:val="en-US" w:eastAsia="zh-CN"/>
        </w:rPr>
        <w:t>1、</w:t>
      </w:r>
      <w:r>
        <w:rPr>
          <w:rFonts w:hint="eastAsia" w:ascii="宋体" w:hAnsi="宋体" w:eastAsia="宋体" w:cs="宋体"/>
          <w:color w:val="auto"/>
        </w:rPr>
        <w:t>2013年12月，</w:t>
      </w:r>
      <w:r>
        <w:rPr>
          <w:rFonts w:hint="eastAsia" w:ascii="宋体" w:hAnsi="宋体" w:eastAsia="宋体" w:cs="宋体"/>
          <w:color w:val="auto"/>
          <w:szCs w:val="24"/>
        </w:rPr>
        <w:t>赤峰冠诚地质勘查有限责任公司编</w:t>
      </w:r>
      <w:r>
        <w:rPr>
          <w:rFonts w:hint="eastAsia" w:ascii="宋体" w:hAnsi="宋体" w:eastAsia="宋体" w:cs="宋体"/>
          <w:color w:val="auto"/>
        </w:rPr>
        <w:t>制的《内蒙古自治区平庄煤田原五家煤矿一井东部碳质泥岩矿矿山地质环境分期治理及土地复垦方案（2012.9</w:t>
      </w:r>
      <w:r>
        <w:rPr>
          <w:rFonts w:hint="eastAsia" w:ascii="宋体" w:hAnsi="宋体" w:eastAsia="宋体" w:cs="宋体"/>
          <w:color w:val="auto"/>
          <w:lang w:val="en-US" w:eastAsia="zh-CN"/>
        </w:rPr>
        <w:t>～</w:t>
      </w:r>
      <w:r>
        <w:rPr>
          <w:rFonts w:hint="eastAsia" w:ascii="宋体" w:hAnsi="宋体" w:eastAsia="宋体" w:cs="宋体"/>
          <w:color w:val="auto"/>
        </w:rPr>
        <w:t>2014.8）》，以下简称《一分期治理方案》；</w:t>
      </w:r>
    </w:p>
    <w:p>
      <w:pPr>
        <w:pStyle w:val="2"/>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color w:val="auto"/>
        </w:rPr>
      </w:pPr>
      <w:r>
        <w:rPr>
          <w:rFonts w:hint="eastAsia" w:ascii="宋体" w:hAnsi="宋体" w:eastAsia="宋体" w:cs="宋体"/>
          <w:color w:val="auto"/>
          <w:lang w:val="en-US" w:eastAsia="zh-CN"/>
        </w:rPr>
        <w:t>2、</w:t>
      </w:r>
      <w:r>
        <w:rPr>
          <w:rFonts w:hint="eastAsia" w:ascii="宋体" w:hAnsi="宋体" w:eastAsia="宋体" w:cs="宋体"/>
          <w:color w:val="auto"/>
        </w:rPr>
        <w:t>20</w:t>
      </w:r>
      <w:r>
        <w:rPr>
          <w:rFonts w:hint="eastAsia" w:ascii="宋体" w:hAnsi="宋体" w:eastAsia="宋体" w:cs="宋体"/>
          <w:color w:val="auto"/>
          <w:lang w:val="en-US" w:eastAsia="zh-CN"/>
        </w:rPr>
        <w:t>20</w:t>
      </w:r>
      <w:r>
        <w:rPr>
          <w:rFonts w:hint="eastAsia" w:ascii="宋体" w:hAnsi="宋体" w:eastAsia="宋体" w:cs="宋体"/>
          <w:color w:val="auto"/>
        </w:rPr>
        <w:t>年12月，</w:t>
      </w:r>
      <w:r>
        <w:rPr>
          <w:rFonts w:hint="eastAsia" w:ascii="宋体" w:hAnsi="宋体" w:eastAsia="宋体" w:cs="宋体"/>
          <w:bCs/>
          <w:color w:val="auto"/>
          <w:sz w:val="24"/>
          <w:szCs w:val="24"/>
        </w:rPr>
        <w:t>中国建筑材料工业地质勘查中心辽宁总队和赤峰国源地产评估有限公司</w:t>
      </w:r>
      <w:r>
        <w:rPr>
          <w:rFonts w:hint="eastAsia" w:ascii="宋体" w:hAnsi="宋体" w:eastAsia="宋体" w:cs="宋体"/>
          <w:bCs/>
          <w:color w:val="auto"/>
          <w:sz w:val="24"/>
          <w:szCs w:val="24"/>
          <w:lang w:eastAsia="zh-CN"/>
        </w:rPr>
        <w:t>联合</w:t>
      </w:r>
      <w:r>
        <w:rPr>
          <w:rFonts w:hint="eastAsia" w:ascii="宋体" w:hAnsi="宋体" w:eastAsia="宋体" w:cs="宋体"/>
          <w:color w:val="auto"/>
          <w:szCs w:val="24"/>
        </w:rPr>
        <w:t>编</w:t>
      </w:r>
      <w:r>
        <w:rPr>
          <w:rFonts w:hint="eastAsia" w:ascii="宋体" w:hAnsi="宋体" w:eastAsia="宋体" w:cs="宋体"/>
          <w:color w:val="auto"/>
        </w:rPr>
        <w:t>制的《内蒙古自治区赤峰市元宝山区平庄煤田原五家煤矿一井东部炭质泥岩矿矿山地质环境治理方案》，以下简称《</w:t>
      </w:r>
      <w:r>
        <w:rPr>
          <w:rFonts w:hint="eastAsia" w:ascii="宋体" w:hAnsi="宋体" w:eastAsia="宋体" w:cs="宋体"/>
          <w:color w:val="auto"/>
          <w:lang w:eastAsia="zh-CN"/>
        </w:rPr>
        <w:t>方案</w:t>
      </w:r>
      <w:r>
        <w:rPr>
          <w:rFonts w:hint="eastAsia" w:ascii="宋体" w:hAnsi="宋体" w:eastAsia="宋体" w:cs="宋体"/>
          <w:color w:val="auto"/>
        </w:rPr>
        <w:t>》；</w:t>
      </w:r>
    </w:p>
    <w:p>
      <w:pPr>
        <w:pStyle w:val="2"/>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color w:val="auto"/>
          <w:lang w:val="en-US" w:eastAsia="zh-CN"/>
        </w:rPr>
      </w:pPr>
      <w:r>
        <w:rPr>
          <w:rFonts w:hint="eastAsia" w:ascii="宋体" w:hAnsi="宋体" w:eastAsia="宋体" w:cs="宋体"/>
          <w:color w:val="auto"/>
          <w:lang w:val="en-US" w:eastAsia="zh-CN"/>
        </w:rPr>
        <w:t>3、</w:t>
      </w:r>
      <w:r>
        <w:rPr>
          <w:rFonts w:hint="eastAsia" w:ascii="宋体" w:hAnsi="宋体" w:eastAsia="宋体" w:cs="宋体"/>
          <w:color w:val="auto"/>
        </w:rPr>
        <w:t>20</w:t>
      </w:r>
      <w:r>
        <w:rPr>
          <w:rFonts w:hint="eastAsia" w:ascii="宋体" w:hAnsi="宋体" w:eastAsia="宋体" w:cs="宋体"/>
          <w:color w:val="auto"/>
          <w:lang w:val="en-US" w:eastAsia="zh-CN"/>
        </w:rPr>
        <w:t>22</w:t>
      </w:r>
      <w:r>
        <w:rPr>
          <w:rFonts w:hint="eastAsia" w:ascii="宋体" w:hAnsi="宋体" w:eastAsia="宋体" w:cs="宋体"/>
          <w:color w:val="auto"/>
        </w:rPr>
        <w:t>年</w:t>
      </w:r>
      <w:r>
        <w:rPr>
          <w:rFonts w:hint="eastAsia" w:ascii="宋体" w:hAnsi="宋体" w:eastAsia="宋体" w:cs="宋体"/>
          <w:color w:val="auto"/>
          <w:lang w:val="en-US" w:eastAsia="zh-CN"/>
        </w:rPr>
        <w:t>2</w:t>
      </w:r>
      <w:r>
        <w:rPr>
          <w:rFonts w:hint="eastAsia" w:ascii="宋体" w:hAnsi="宋体" w:eastAsia="宋体" w:cs="宋体"/>
          <w:color w:val="auto"/>
        </w:rPr>
        <w:t>月，元宝山区五家镇嘉润碳质泥岩有限责任公司</w:t>
      </w:r>
      <w:r>
        <w:rPr>
          <w:rFonts w:hint="eastAsia" w:ascii="宋体" w:hAnsi="宋体" w:eastAsia="宋体" w:cs="宋体"/>
          <w:color w:val="auto"/>
          <w:szCs w:val="24"/>
          <w:lang w:eastAsia="zh-CN"/>
        </w:rPr>
        <w:t>提交</w:t>
      </w:r>
      <w:r>
        <w:rPr>
          <w:rFonts w:hint="eastAsia" w:ascii="宋体" w:hAnsi="宋体" w:eastAsia="宋体" w:cs="宋体"/>
          <w:color w:val="auto"/>
        </w:rPr>
        <w:t>的《内蒙古自治区平庄煤田原五家煤矿一井东部炭质泥岩矿202</w:t>
      </w:r>
      <w:r>
        <w:rPr>
          <w:rFonts w:hint="eastAsia" w:ascii="宋体" w:hAnsi="宋体" w:eastAsia="宋体" w:cs="宋体"/>
          <w:color w:val="auto"/>
          <w:lang w:val="en-US" w:eastAsia="zh-CN"/>
        </w:rPr>
        <w:t>2</w:t>
      </w:r>
      <w:r>
        <w:rPr>
          <w:rFonts w:hint="eastAsia" w:ascii="宋体" w:hAnsi="宋体" w:eastAsia="宋体" w:cs="宋体"/>
          <w:color w:val="auto"/>
        </w:rPr>
        <w:t>年度矿山地质环境治理计划书》；</w:t>
      </w:r>
    </w:p>
    <w:p>
      <w:pPr>
        <w:pStyle w:val="2"/>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color w:val="auto"/>
        </w:rPr>
      </w:pPr>
      <w:r>
        <w:rPr>
          <w:rFonts w:hint="eastAsia" w:ascii="宋体" w:hAnsi="宋体" w:eastAsia="宋体" w:cs="宋体"/>
          <w:color w:val="auto"/>
          <w:lang w:val="en-US" w:eastAsia="zh-CN"/>
        </w:rPr>
        <w:t>4、</w:t>
      </w:r>
      <w:r>
        <w:rPr>
          <w:rFonts w:hint="eastAsia" w:ascii="宋体" w:hAnsi="宋体" w:eastAsia="宋体" w:cs="宋体"/>
          <w:color w:val="auto"/>
        </w:rPr>
        <w:t>20</w:t>
      </w:r>
      <w:r>
        <w:rPr>
          <w:rFonts w:hint="eastAsia" w:ascii="宋体" w:hAnsi="宋体" w:eastAsia="宋体" w:cs="宋体"/>
          <w:color w:val="auto"/>
          <w:lang w:val="en-US" w:eastAsia="zh-CN"/>
        </w:rPr>
        <w:t>23</w:t>
      </w:r>
      <w:r>
        <w:rPr>
          <w:rFonts w:hint="eastAsia" w:ascii="宋体" w:hAnsi="宋体" w:eastAsia="宋体" w:cs="宋体"/>
          <w:color w:val="auto"/>
        </w:rPr>
        <w:t>年</w:t>
      </w:r>
      <w:r>
        <w:rPr>
          <w:rFonts w:hint="eastAsia" w:ascii="宋体" w:hAnsi="宋体" w:eastAsia="宋体" w:cs="宋体"/>
          <w:color w:val="auto"/>
          <w:lang w:val="en-US" w:eastAsia="zh-CN"/>
        </w:rPr>
        <w:t>3</w:t>
      </w:r>
      <w:r>
        <w:rPr>
          <w:rFonts w:hint="eastAsia" w:ascii="宋体" w:hAnsi="宋体" w:eastAsia="宋体" w:cs="宋体"/>
          <w:color w:val="auto"/>
        </w:rPr>
        <w:t>月，元宝山区五家镇嘉润碳质泥岩有限责任公司</w:t>
      </w:r>
      <w:r>
        <w:rPr>
          <w:rFonts w:hint="eastAsia" w:ascii="宋体" w:hAnsi="宋体" w:eastAsia="宋体" w:cs="宋体"/>
          <w:color w:val="auto"/>
          <w:szCs w:val="24"/>
          <w:lang w:eastAsia="zh-CN"/>
        </w:rPr>
        <w:t>提交</w:t>
      </w:r>
      <w:r>
        <w:rPr>
          <w:rFonts w:hint="eastAsia" w:ascii="宋体" w:hAnsi="宋体" w:eastAsia="宋体" w:cs="宋体"/>
          <w:color w:val="auto"/>
        </w:rPr>
        <w:t>的《内蒙古自治区平庄煤田原五家煤矿一井东部炭质泥岩矿202</w:t>
      </w:r>
      <w:r>
        <w:rPr>
          <w:rFonts w:hint="eastAsia" w:ascii="宋体" w:hAnsi="宋体" w:eastAsia="宋体" w:cs="宋体"/>
          <w:color w:val="auto"/>
          <w:lang w:val="en-US" w:eastAsia="zh-CN"/>
        </w:rPr>
        <w:t>3</w:t>
      </w:r>
      <w:r>
        <w:rPr>
          <w:rFonts w:hint="eastAsia" w:ascii="宋体" w:hAnsi="宋体" w:eastAsia="宋体" w:cs="宋体"/>
          <w:color w:val="auto"/>
        </w:rPr>
        <w:t>年度矿山地质环境治理计划书》；</w:t>
      </w:r>
    </w:p>
    <w:p>
      <w:pPr>
        <w:pStyle w:val="5"/>
        <w:adjustRightInd/>
        <w:snapToGrid/>
        <w:spacing w:before="0"/>
        <w:jc w:val="both"/>
        <w:rPr>
          <w:rFonts w:hint="eastAsia" w:ascii="宋体" w:hAnsi="宋体" w:eastAsia="宋体" w:cs="宋体"/>
          <w:color w:val="auto"/>
          <w:sz w:val="30"/>
          <w:szCs w:val="30"/>
        </w:rPr>
      </w:pPr>
      <w:bookmarkStart w:id="15" w:name="_Toc17867"/>
      <w:r>
        <w:rPr>
          <w:rFonts w:hint="eastAsia" w:ascii="宋体" w:hAnsi="宋体" w:eastAsia="宋体" w:cs="宋体"/>
          <w:color w:val="auto"/>
          <w:sz w:val="28"/>
          <w:szCs w:val="28"/>
        </w:rPr>
        <w:t>（二）治理方案规划的近期治理工程内容</w:t>
      </w:r>
      <w:bookmarkEnd w:id="15"/>
    </w:p>
    <w:p>
      <w:pPr>
        <w:pStyle w:val="80"/>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left"/>
        <w:textAlignment w:val="auto"/>
        <w:rPr>
          <w:rFonts w:hint="eastAsia" w:ascii="宋体" w:hAnsi="宋体" w:eastAsia="宋体" w:cs="宋体"/>
          <w:color w:val="auto"/>
        </w:rPr>
      </w:pPr>
      <w:r>
        <w:rPr>
          <w:rFonts w:hint="eastAsia" w:ascii="宋体" w:hAnsi="宋体" w:eastAsia="宋体" w:cs="宋体"/>
          <w:color w:val="auto"/>
        </w:rPr>
        <w:t>20</w:t>
      </w:r>
      <w:r>
        <w:rPr>
          <w:rFonts w:hint="eastAsia" w:ascii="宋体" w:hAnsi="宋体" w:eastAsia="宋体" w:cs="宋体"/>
          <w:color w:val="auto"/>
          <w:lang w:val="en-US" w:eastAsia="zh-CN"/>
        </w:rPr>
        <w:t>20</w:t>
      </w:r>
      <w:r>
        <w:rPr>
          <w:rFonts w:hint="eastAsia" w:ascii="宋体" w:hAnsi="宋体" w:eastAsia="宋体" w:cs="宋体"/>
          <w:color w:val="auto"/>
        </w:rPr>
        <w:t>年12月，</w:t>
      </w:r>
      <w:r>
        <w:rPr>
          <w:rFonts w:hint="eastAsia" w:ascii="宋体" w:hAnsi="宋体" w:eastAsia="宋体" w:cs="宋体"/>
          <w:bCs/>
          <w:color w:val="auto"/>
          <w:sz w:val="24"/>
          <w:szCs w:val="24"/>
        </w:rPr>
        <w:t>中国建筑材料工业地质勘查中心辽宁总队和赤峰国源地产评估有限公司</w:t>
      </w:r>
      <w:r>
        <w:rPr>
          <w:rFonts w:hint="eastAsia" w:ascii="宋体" w:hAnsi="宋体" w:eastAsia="宋体" w:cs="宋体"/>
          <w:bCs/>
          <w:color w:val="auto"/>
          <w:sz w:val="24"/>
          <w:szCs w:val="24"/>
          <w:lang w:eastAsia="zh-CN"/>
        </w:rPr>
        <w:t>联合</w:t>
      </w:r>
      <w:r>
        <w:rPr>
          <w:rFonts w:hint="eastAsia" w:ascii="宋体" w:hAnsi="宋体" w:eastAsia="宋体" w:cs="宋体"/>
          <w:color w:val="auto"/>
          <w:szCs w:val="24"/>
        </w:rPr>
        <w:t>编</w:t>
      </w:r>
      <w:r>
        <w:rPr>
          <w:rFonts w:hint="eastAsia" w:ascii="宋体" w:hAnsi="宋体" w:eastAsia="宋体" w:cs="宋体"/>
          <w:color w:val="auto"/>
        </w:rPr>
        <w:t>制的《内蒙古自治区赤峰市元宝山区平庄煤田原五家煤矿一井东部炭质泥岩矿矿山地质环境治理方案》，《</w:t>
      </w:r>
      <w:r>
        <w:rPr>
          <w:rFonts w:hint="eastAsia" w:ascii="宋体" w:hAnsi="宋体" w:eastAsia="宋体" w:cs="宋体"/>
          <w:color w:val="auto"/>
          <w:lang w:eastAsia="zh-CN"/>
        </w:rPr>
        <w:t>方案</w:t>
      </w:r>
      <w:r>
        <w:rPr>
          <w:rFonts w:hint="eastAsia" w:ascii="宋体" w:hAnsi="宋体" w:eastAsia="宋体" w:cs="宋体"/>
          <w:color w:val="auto"/>
        </w:rPr>
        <w:t>》</w:t>
      </w:r>
      <w:r>
        <w:rPr>
          <w:rFonts w:hint="eastAsia" w:ascii="宋体" w:hAnsi="宋体" w:eastAsia="宋体" w:cs="宋体"/>
          <w:color w:val="auto"/>
          <w:lang w:val="en-US" w:eastAsia="zh-CN"/>
        </w:rPr>
        <w:t>近期</w:t>
      </w:r>
      <w:r>
        <w:rPr>
          <w:rFonts w:hint="eastAsia" w:ascii="宋体" w:hAnsi="宋体" w:eastAsia="宋体" w:cs="宋体"/>
          <w:color w:val="auto"/>
        </w:rPr>
        <w:t>治理时间为2020年7月1日-2025年6月30日，</w:t>
      </w:r>
      <w:r>
        <w:rPr>
          <w:rFonts w:hint="eastAsia" w:ascii="宋体" w:hAnsi="宋体" w:eastAsia="宋体" w:cs="宋体"/>
          <w:color w:val="auto"/>
          <w:sz w:val="24"/>
          <w:szCs w:val="24"/>
          <w:lang w:val="en-US" w:eastAsia="zh-CN"/>
        </w:rPr>
        <w:t>近期治理工程对象为</w:t>
      </w:r>
      <w:r>
        <w:rPr>
          <w:rFonts w:hint="eastAsia" w:ascii="宋体" w:hAnsi="宋体" w:eastAsia="宋体" w:cs="宋体"/>
          <w:bCs/>
          <w:color w:val="auto"/>
          <w:sz w:val="24"/>
          <w:szCs w:val="24"/>
          <w:lang w:eastAsia="zh-CN"/>
        </w:rPr>
        <w:t>拟建</w:t>
      </w:r>
      <w:r>
        <w:rPr>
          <w:rFonts w:hint="eastAsia" w:ascii="宋体" w:hAnsi="宋体" w:eastAsia="宋体" w:cs="宋体"/>
          <w:bCs/>
          <w:color w:val="auto"/>
          <w:sz w:val="24"/>
        </w:rPr>
        <w:t>露天采场</w:t>
      </w:r>
      <w:r>
        <w:rPr>
          <w:rFonts w:hint="eastAsia" w:ascii="宋体" w:hAnsi="宋体" w:eastAsia="宋体" w:cs="宋体"/>
          <w:color w:val="auto"/>
          <w:kern w:val="0"/>
          <w:sz w:val="24"/>
          <w:szCs w:val="24"/>
          <w:lang w:val="en-US" w:eastAsia="zh-CN" w:bidi="ar"/>
        </w:rPr>
        <w:t>、</w:t>
      </w:r>
      <w:r>
        <w:rPr>
          <w:rFonts w:hint="eastAsia" w:ascii="宋体" w:hAnsi="宋体" w:eastAsia="宋体" w:cs="宋体"/>
          <w:color w:val="auto"/>
          <w:sz w:val="24"/>
          <w:lang w:val="en-US" w:eastAsia="zh-CN"/>
        </w:rPr>
        <w:t>原露天采场</w:t>
      </w:r>
      <w:r>
        <w:rPr>
          <w:rFonts w:hint="eastAsia" w:ascii="宋体" w:hAnsi="宋体" w:eastAsia="宋体" w:cs="宋体"/>
          <w:color w:val="auto"/>
          <w:kern w:val="0"/>
          <w:sz w:val="24"/>
          <w:szCs w:val="24"/>
          <w:lang w:val="en-US" w:eastAsia="zh-CN" w:bidi="ar"/>
        </w:rPr>
        <w:t>、</w:t>
      </w:r>
      <w:r>
        <w:rPr>
          <w:rFonts w:hint="eastAsia" w:ascii="宋体" w:hAnsi="宋体" w:eastAsia="宋体" w:cs="宋体"/>
          <w:color w:val="auto"/>
          <w:sz w:val="24"/>
        </w:rPr>
        <w:t>原废石场</w:t>
      </w:r>
      <w:r>
        <w:rPr>
          <w:rFonts w:hint="eastAsia" w:ascii="宋体" w:hAnsi="宋体" w:eastAsia="宋体" w:cs="宋体"/>
          <w:color w:val="auto"/>
          <w:kern w:val="0"/>
          <w:sz w:val="24"/>
          <w:szCs w:val="24"/>
          <w:lang w:val="en-US" w:eastAsia="zh-CN" w:bidi="ar"/>
        </w:rPr>
        <w:t>、</w:t>
      </w:r>
      <w:r>
        <w:rPr>
          <w:rFonts w:hint="eastAsia" w:ascii="宋体" w:hAnsi="宋体" w:eastAsia="宋体" w:cs="宋体"/>
          <w:color w:val="auto"/>
          <w:sz w:val="24"/>
        </w:rPr>
        <w:t>表土存放场</w:t>
      </w:r>
      <w:r>
        <w:rPr>
          <w:rFonts w:hint="eastAsia" w:ascii="宋体" w:hAnsi="宋体" w:eastAsia="宋体" w:cs="宋体"/>
          <w:color w:val="auto"/>
          <w:kern w:val="0"/>
          <w:sz w:val="24"/>
          <w:szCs w:val="24"/>
          <w:lang w:val="en-US" w:eastAsia="zh-CN" w:bidi="ar"/>
        </w:rPr>
        <w:t>、</w:t>
      </w:r>
      <w:r>
        <w:rPr>
          <w:rFonts w:hint="eastAsia" w:ascii="宋体" w:hAnsi="宋体" w:eastAsia="宋体" w:cs="宋体"/>
          <w:bCs/>
          <w:color w:val="auto"/>
          <w:sz w:val="24"/>
        </w:rPr>
        <w:t>矿区道路</w:t>
      </w:r>
      <w:r>
        <w:rPr>
          <w:rFonts w:hint="eastAsia" w:ascii="宋体" w:hAnsi="宋体" w:eastAsia="宋体" w:cs="宋体"/>
          <w:color w:val="auto"/>
          <w:sz w:val="24"/>
          <w:szCs w:val="24"/>
          <w:lang w:val="en-US" w:eastAsia="zh-CN"/>
        </w:rPr>
        <w:t>。各单元设计治理工程措施如下：</w:t>
      </w:r>
    </w:p>
    <w:p>
      <w:pPr>
        <w:tabs>
          <w:tab w:val="left" w:pos="720"/>
        </w:tabs>
        <w:autoSpaceDE w:val="0"/>
        <w:autoSpaceDN w:val="0"/>
        <w:adjustRightInd w:val="0"/>
        <w:spacing w:after="0" w:line="360" w:lineRule="auto"/>
        <w:ind w:firstLine="480" w:firstLineChars="200"/>
        <w:jc w:val="both"/>
        <w:rPr>
          <w:rFonts w:hint="eastAsia" w:ascii="宋体" w:hAnsi="宋体" w:eastAsia="宋体" w:cs="宋体"/>
          <w:color w:val="auto"/>
          <w:sz w:val="24"/>
        </w:rPr>
      </w:pPr>
      <w:r>
        <w:rPr>
          <w:rFonts w:hint="eastAsia" w:ascii="宋体" w:hAnsi="宋体" w:eastAsia="宋体" w:cs="宋体"/>
          <w:bCs/>
          <w:color w:val="auto"/>
          <w:sz w:val="24"/>
          <w:szCs w:val="24"/>
          <w:lang w:val="en-US" w:eastAsia="zh-CN"/>
        </w:rPr>
        <w:t>1、</w:t>
      </w:r>
      <w:r>
        <w:rPr>
          <w:rFonts w:hint="eastAsia" w:ascii="宋体" w:hAnsi="宋体" w:eastAsia="宋体" w:cs="宋体"/>
          <w:bCs/>
          <w:color w:val="auto"/>
          <w:sz w:val="24"/>
          <w:szCs w:val="24"/>
          <w:lang w:eastAsia="zh-CN"/>
        </w:rPr>
        <w:t>拟建</w:t>
      </w:r>
      <w:r>
        <w:rPr>
          <w:rFonts w:hint="eastAsia" w:ascii="宋体" w:hAnsi="宋体" w:eastAsia="宋体" w:cs="宋体"/>
          <w:bCs/>
          <w:color w:val="auto"/>
          <w:sz w:val="24"/>
        </w:rPr>
        <w:t>露天采场</w:t>
      </w:r>
      <w:r>
        <w:rPr>
          <w:rFonts w:hint="eastAsia" w:ascii="宋体" w:hAnsi="宋体" w:eastAsia="宋体" w:cs="宋体"/>
          <w:bCs/>
          <w:color w:val="auto"/>
          <w:sz w:val="24"/>
          <w:lang w:eastAsia="zh-CN"/>
        </w:rPr>
        <w:t>：</w:t>
      </w:r>
      <w:r>
        <w:rPr>
          <w:rFonts w:hint="eastAsia" w:ascii="宋体" w:hAnsi="宋体" w:eastAsia="宋体" w:cs="宋体"/>
          <w:color w:val="auto"/>
          <w:sz w:val="24"/>
          <w:lang w:eastAsia="zh-CN"/>
        </w:rPr>
        <w:t>近期废石场废石清运后露出拟建露天采场场地，根据生产需要逐步对拟开采区域表土进行剥离，集中存放至表土存放场，</w:t>
      </w:r>
      <w:r>
        <w:rPr>
          <w:rFonts w:hint="eastAsia" w:ascii="宋体" w:hAnsi="宋体" w:eastAsia="宋体" w:cs="宋体"/>
          <w:color w:val="auto"/>
          <w:sz w:val="24"/>
        </w:rPr>
        <w:t>矿山开采要严格按《开发利用方案》和有关设计施工，在露天采场</w:t>
      </w:r>
      <w:r>
        <w:rPr>
          <w:rFonts w:hint="eastAsia" w:ascii="宋体" w:hAnsi="宋体" w:eastAsia="宋体" w:cs="宋体"/>
          <w:color w:val="auto"/>
          <w:sz w:val="24"/>
          <w:lang w:eastAsia="zh-CN"/>
        </w:rPr>
        <w:t>终采境界</w:t>
      </w:r>
      <w:r>
        <w:rPr>
          <w:rFonts w:hint="eastAsia" w:ascii="宋体" w:hAnsi="宋体" w:eastAsia="宋体" w:cs="宋体"/>
          <w:color w:val="auto"/>
          <w:sz w:val="24"/>
        </w:rPr>
        <w:t>外围</w:t>
      </w:r>
      <w:r>
        <w:rPr>
          <w:rFonts w:hint="eastAsia" w:ascii="宋体" w:hAnsi="宋体" w:eastAsia="宋体" w:cs="宋体"/>
          <w:color w:val="auto"/>
          <w:sz w:val="24"/>
          <w:lang w:eastAsia="zh-CN"/>
        </w:rPr>
        <w:t>设置</w:t>
      </w:r>
      <w:r>
        <w:rPr>
          <w:rFonts w:hint="eastAsia" w:ascii="宋体" w:hAnsi="宋体" w:eastAsia="宋体" w:cs="宋体"/>
          <w:color w:val="auto"/>
          <w:sz w:val="24"/>
        </w:rPr>
        <w:t>网围栏、警示牌</w:t>
      </w:r>
      <w:r>
        <w:rPr>
          <w:rFonts w:hint="eastAsia" w:ascii="宋体" w:hAnsi="宋体" w:eastAsia="宋体" w:cs="宋体"/>
          <w:color w:val="auto"/>
          <w:sz w:val="24"/>
          <w:lang w:eastAsia="zh-CN"/>
        </w:rPr>
        <w:t>，以防误入</w:t>
      </w:r>
      <w:r>
        <w:rPr>
          <w:rFonts w:hint="eastAsia" w:ascii="宋体" w:hAnsi="宋体" w:eastAsia="宋体" w:cs="宋体"/>
          <w:color w:val="auto"/>
          <w:sz w:val="24"/>
        </w:rPr>
        <w:t>，开采过程中对采场及边坡出现的危岩体及时进行清理，消除崩塌</w:t>
      </w:r>
      <w:r>
        <w:rPr>
          <w:rFonts w:hint="eastAsia" w:ascii="宋体" w:hAnsi="宋体" w:eastAsia="宋体" w:cs="宋体"/>
          <w:color w:val="auto"/>
          <w:sz w:val="24"/>
          <w:lang w:eastAsia="zh-CN"/>
        </w:rPr>
        <w:t>、滑坡</w:t>
      </w:r>
      <w:r>
        <w:rPr>
          <w:rFonts w:hint="eastAsia" w:ascii="宋体" w:hAnsi="宋体" w:eastAsia="宋体" w:cs="宋体"/>
          <w:color w:val="auto"/>
          <w:sz w:val="24"/>
        </w:rPr>
        <w:t>灾害隐患。</w:t>
      </w:r>
    </w:p>
    <w:p>
      <w:pPr>
        <w:pStyle w:val="168"/>
        <w:spacing w:line="360" w:lineRule="auto"/>
        <w:ind w:firstLine="480"/>
        <w:rPr>
          <w:rFonts w:hint="eastAsia" w:ascii="宋体" w:hAnsi="宋体" w:eastAsia="宋体" w:cs="宋体"/>
          <w:color w:val="auto"/>
          <w:sz w:val="24"/>
        </w:rPr>
      </w:pPr>
      <w:r>
        <w:rPr>
          <w:rFonts w:hint="eastAsia" w:ascii="宋体" w:hAnsi="宋体" w:eastAsia="宋体" w:cs="宋体"/>
          <w:color w:val="auto"/>
          <w:sz w:val="24"/>
          <w:lang w:val="en-US" w:eastAsia="zh-CN"/>
        </w:rPr>
        <w:t>2、原露天采场：</w:t>
      </w:r>
      <w:r>
        <w:rPr>
          <w:rFonts w:hint="eastAsia" w:ascii="宋体" w:hAnsi="宋体" w:eastAsia="宋体" w:cs="宋体"/>
          <w:color w:val="auto"/>
          <w:sz w:val="24"/>
          <w:lang w:eastAsia="zh-CN"/>
        </w:rPr>
        <w:t>近期利用废石场废石对采场进行回填（包含窄沟），对东侧蠕动边坡松散层进行削坡整形，消除滑坡隐患，两种措施结合治理，使整个采场形成三层台阶，阶段标高分别为</w:t>
      </w:r>
      <w:r>
        <w:rPr>
          <w:rFonts w:hint="eastAsia" w:ascii="宋体" w:hAnsi="宋体" w:eastAsia="宋体" w:cs="宋体"/>
          <w:color w:val="auto"/>
          <w:sz w:val="24"/>
          <w:lang w:val="en-US" w:eastAsia="zh-CN"/>
        </w:rPr>
        <w:t>645m、635m、625m水平，台阶坡面角控制在15°以内，</w:t>
      </w:r>
      <w:r>
        <w:rPr>
          <w:rFonts w:hint="eastAsia" w:ascii="宋体" w:hAnsi="宋体" w:eastAsia="宋体" w:cs="宋体"/>
          <w:color w:val="auto"/>
          <w:sz w:val="24"/>
          <w:lang w:eastAsia="zh-CN"/>
        </w:rPr>
        <w:t>尽可能与灭火工程地形地貌景观相协调，</w:t>
      </w:r>
      <w:r>
        <w:rPr>
          <w:rFonts w:hint="eastAsia" w:ascii="宋体" w:hAnsi="宋体" w:eastAsia="宋体" w:cs="宋体"/>
          <w:color w:val="auto"/>
          <w:sz w:val="24"/>
          <w:lang w:val="en-US" w:eastAsia="zh-CN"/>
        </w:rPr>
        <w:t>然后对整形后整个采场（台阶及边坡）全部进行覆土、复垦为</w:t>
      </w:r>
      <w:r>
        <w:rPr>
          <w:rFonts w:hint="eastAsia" w:ascii="宋体" w:hAnsi="宋体" w:eastAsia="宋体" w:cs="宋体"/>
          <w:color w:val="auto"/>
          <w:sz w:val="24"/>
          <w:lang w:eastAsia="zh-CN"/>
        </w:rPr>
        <w:t>耕地、林地、</w:t>
      </w:r>
      <w:r>
        <w:rPr>
          <w:rFonts w:hint="eastAsia" w:ascii="宋体" w:hAnsi="宋体" w:eastAsia="宋体" w:cs="宋体"/>
          <w:color w:val="auto"/>
          <w:sz w:val="24"/>
        </w:rPr>
        <w:t>管护。</w:t>
      </w:r>
    </w:p>
    <w:p>
      <w:pPr>
        <w:tabs>
          <w:tab w:val="left" w:pos="720"/>
        </w:tabs>
        <w:autoSpaceDE w:val="0"/>
        <w:autoSpaceDN w:val="0"/>
        <w:adjustRightInd w:val="0"/>
        <w:spacing w:after="0" w:line="360" w:lineRule="auto"/>
        <w:ind w:firstLine="480" w:firstLineChars="200"/>
        <w:jc w:val="both"/>
        <w:rPr>
          <w:rFonts w:hint="eastAsia" w:ascii="宋体" w:hAnsi="宋体" w:eastAsia="宋体" w:cs="宋体"/>
          <w:color w:val="auto"/>
          <w:sz w:val="24"/>
        </w:rPr>
      </w:pPr>
      <w:r>
        <w:rPr>
          <w:rFonts w:hint="eastAsia" w:ascii="宋体" w:hAnsi="宋体" w:eastAsia="宋体" w:cs="宋体"/>
          <w:color w:val="auto"/>
          <w:sz w:val="24"/>
          <w:lang w:val="en-US" w:eastAsia="zh-CN"/>
        </w:rPr>
        <w:t>3、</w:t>
      </w:r>
      <w:r>
        <w:rPr>
          <w:rFonts w:hint="eastAsia" w:ascii="宋体" w:hAnsi="宋体" w:eastAsia="宋体" w:cs="宋体"/>
          <w:color w:val="auto"/>
          <w:sz w:val="24"/>
        </w:rPr>
        <w:t>原废石场</w:t>
      </w:r>
      <w:r>
        <w:rPr>
          <w:rFonts w:hint="eastAsia" w:ascii="宋体" w:hAnsi="宋体" w:eastAsia="宋体" w:cs="宋体"/>
          <w:color w:val="auto"/>
          <w:sz w:val="24"/>
          <w:lang w:eastAsia="zh-CN"/>
        </w:rPr>
        <w:t>：</w:t>
      </w:r>
      <w:r>
        <w:rPr>
          <w:rFonts w:hint="eastAsia" w:ascii="宋体" w:hAnsi="宋体" w:eastAsia="宋体" w:cs="宋体"/>
          <w:color w:val="auto"/>
          <w:sz w:val="24"/>
        </w:rPr>
        <w:t>近期废石作为原露天采场的回填物源进行清运，恰好清理出拟建露天采场场地，对不被拟建场地所利用的场地进行土方整平、复垦为林地、管护。</w:t>
      </w:r>
    </w:p>
    <w:p>
      <w:pPr>
        <w:tabs>
          <w:tab w:val="left" w:pos="720"/>
        </w:tabs>
        <w:autoSpaceDE w:val="0"/>
        <w:autoSpaceDN w:val="0"/>
        <w:adjustRightInd w:val="0"/>
        <w:spacing w:after="0" w:line="360" w:lineRule="auto"/>
        <w:ind w:firstLine="480" w:firstLineChars="200"/>
        <w:jc w:val="both"/>
        <w:rPr>
          <w:rFonts w:hint="eastAsia" w:ascii="宋体" w:hAnsi="宋体" w:eastAsia="宋体" w:cs="宋体"/>
          <w:color w:val="auto"/>
          <w:sz w:val="24"/>
        </w:rPr>
      </w:pPr>
      <w:r>
        <w:rPr>
          <w:rFonts w:hint="eastAsia" w:ascii="宋体" w:hAnsi="宋体" w:eastAsia="宋体" w:cs="宋体"/>
          <w:color w:val="auto"/>
          <w:sz w:val="24"/>
          <w:lang w:val="en-US" w:eastAsia="zh-CN"/>
        </w:rPr>
        <w:t>4、</w:t>
      </w:r>
      <w:r>
        <w:rPr>
          <w:rFonts w:hint="eastAsia" w:ascii="宋体" w:hAnsi="宋体" w:eastAsia="宋体" w:cs="宋体"/>
          <w:color w:val="auto"/>
          <w:sz w:val="24"/>
        </w:rPr>
        <w:t>表土存放场</w:t>
      </w:r>
      <w:r>
        <w:rPr>
          <w:rFonts w:hint="eastAsia" w:ascii="宋体" w:hAnsi="宋体" w:eastAsia="宋体" w:cs="宋体"/>
          <w:color w:val="auto"/>
          <w:sz w:val="24"/>
          <w:lang w:eastAsia="zh-CN"/>
        </w:rPr>
        <w:t>：</w:t>
      </w:r>
      <w:r>
        <w:rPr>
          <w:rFonts w:hint="eastAsia" w:ascii="宋体" w:hAnsi="宋体" w:eastAsia="宋体" w:cs="宋体"/>
          <w:color w:val="auto"/>
          <w:sz w:val="24"/>
        </w:rPr>
        <w:t>近期对存放表土撒播草籽保护土壤，以防雨水冲刷导致土壤流失。</w:t>
      </w:r>
    </w:p>
    <w:p>
      <w:pPr>
        <w:spacing w:after="0" w:line="360" w:lineRule="auto"/>
        <w:ind w:firstLine="480" w:firstLineChars="200"/>
        <w:jc w:val="both"/>
        <w:rPr>
          <w:rFonts w:hint="eastAsia" w:ascii="宋体" w:hAnsi="宋体" w:eastAsia="宋体" w:cs="宋体"/>
          <w:color w:val="auto"/>
          <w:sz w:val="24"/>
        </w:rPr>
      </w:pPr>
      <w:r>
        <w:rPr>
          <w:rFonts w:hint="eastAsia" w:ascii="宋体" w:hAnsi="宋体" w:eastAsia="宋体" w:cs="宋体"/>
          <w:bCs/>
          <w:color w:val="auto"/>
          <w:sz w:val="24"/>
          <w:lang w:val="en-US" w:eastAsia="zh-CN"/>
        </w:rPr>
        <w:t>5、</w:t>
      </w:r>
      <w:r>
        <w:rPr>
          <w:rFonts w:hint="eastAsia" w:ascii="宋体" w:hAnsi="宋体" w:eastAsia="宋体" w:cs="宋体"/>
          <w:bCs/>
          <w:color w:val="auto"/>
          <w:sz w:val="24"/>
        </w:rPr>
        <w:t>矿区道路</w:t>
      </w:r>
      <w:r>
        <w:rPr>
          <w:rFonts w:hint="eastAsia" w:ascii="宋体" w:hAnsi="宋体" w:eastAsia="宋体" w:cs="宋体"/>
          <w:bCs/>
          <w:color w:val="auto"/>
          <w:sz w:val="24"/>
          <w:lang w:eastAsia="zh-CN"/>
        </w:rPr>
        <w:t>：</w:t>
      </w:r>
      <w:r>
        <w:rPr>
          <w:rFonts w:hint="eastAsia" w:ascii="宋体" w:hAnsi="宋体" w:eastAsia="宋体" w:cs="宋体"/>
          <w:color w:val="auto"/>
          <w:sz w:val="24"/>
        </w:rPr>
        <w:t>近期对不再继续使用路段覆土、复垦为草地、管护。</w:t>
      </w:r>
    </w:p>
    <w:p>
      <w:pPr>
        <w:spacing w:after="0" w:line="360" w:lineRule="auto"/>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矿山生产期间，对各工程场地地质灾害、地形地貌景观及土地资源、地下水水质进行监测；对复垦植被进行管护。</w:t>
      </w:r>
    </w:p>
    <w:p>
      <w:pPr>
        <w:pStyle w:val="2"/>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uto"/>
        <w:jc w:val="center"/>
        <w:textAlignment w:val="auto"/>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4"/>
          <w:szCs w:val="24"/>
          <w:lang w:eastAsia="zh-CN"/>
        </w:rPr>
        <w:t>表</w:t>
      </w:r>
      <w:r>
        <w:rPr>
          <w:rFonts w:hint="eastAsia" w:ascii="宋体" w:hAnsi="宋体" w:eastAsia="宋体" w:cs="宋体"/>
          <w:b/>
          <w:bCs/>
          <w:color w:val="auto"/>
          <w:sz w:val="24"/>
          <w:szCs w:val="24"/>
          <w:lang w:val="en-US" w:eastAsia="zh-CN"/>
        </w:rPr>
        <w:t>2-1  综合治理方案首期治理工程汇总表</w:t>
      </w:r>
    </w:p>
    <w:tbl>
      <w:tblPr>
        <w:tblStyle w:val="8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2"/>
        <w:gridCol w:w="1977"/>
        <w:gridCol w:w="1561"/>
        <w:gridCol w:w="2062"/>
        <w:gridCol w:w="13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916"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治理期限（年）</w:t>
            </w:r>
          </w:p>
        </w:tc>
        <w:tc>
          <w:tcPr>
            <w:tcW w:w="1159"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治理场地名称</w:t>
            </w:r>
          </w:p>
        </w:tc>
        <w:tc>
          <w:tcPr>
            <w:tcW w:w="915"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治理面积</w:t>
            </w:r>
            <w:r>
              <w:rPr>
                <w:rFonts w:hint="eastAsia" w:ascii="宋体" w:hAnsi="宋体" w:eastAsia="宋体" w:cs="宋体"/>
                <w:color w:val="auto"/>
                <w:sz w:val="21"/>
                <w:szCs w:val="21"/>
                <w:lang w:bidi="ar"/>
              </w:rPr>
              <w:t>（m</w:t>
            </w:r>
            <w:r>
              <w:rPr>
                <w:rFonts w:hint="eastAsia" w:ascii="宋体" w:hAnsi="宋体" w:eastAsia="宋体" w:cs="宋体"/>
                <w:color w:val="auto"/>
                <w:sz w:val="21"/>
                <w:szCs w:val="21"/>
                <w:vertAlign w:val="superscript"/>
                <w:lang w:bidi="ar"/>
              </w:rPr>
              <w:t>2</w:t>
            </w:r>
            <w:r>
              <w:rPr>
                <w:rFonts w:hint="eastAsia" w:ascii="宋体" w:hAnsi="宋体" w:eastAsia="宋体" w:cs="宋体"/>
                <w:color w:val="auto"/>
                <w:sz w:val="21"/>
                <w:szCs w:val="21"/>
                <w:lang w:bidi="ar"/>
              </w:rPr>
              <w:t>）</w:t>
            </w:r>
          </w:p>
        </w:tc>
        <w:tc>
          <w:tcPr>
            <w:tcW w:w="1209"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治理工程内容</w:t>
            </w:r>
          </w:p>
        </w:tc>
        <w:tc>
          <w:tcPr>
            <w:tcW w:w="799"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治理工程量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6" w:type="pct"/>
            <w:vMerge w:val="restar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2020.7.1-</w:t>
            </w:r>
          </w:p>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2021.6.30</w:t>
            </w:r>
          </w:p>
        </w:tc>
        <w:tc>
          <w:tcPr>
            <w:tcW w:w="1159" w:type="pct"/>
            <w:vMerge w:val="restar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原露天采场</w:t>
            </w:r>
          </w:p>
        </w:tc>
        <w:tc>
          <w:tcPr>
            <w:tcW w:w="915" w:type="pct"/>
            <w:vMerge w:val="restar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150329</w:t>
            </w:r>
          </w:p>
        </w:tc>
        <w:tc>
          <w:tcPr>
            <w:tcW w:w="1209"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回填（m</w:t>
            </w:r>
            <w:r>
              <w:rPr>
                <w:rFonts w:hint="eastAsia" w:ascii="宋体" w:hAnsi="宋体" w:eastAsia="宋体" w:cs="宋体"/>
                <w:color w:val="auto"/>
                <w:sz w:val="21"/>
                <w:szCs w:val="21"/>
                <w:vertAlign w:val="superscript"/>
              </w:rPr>
              <w:t>3</w:t>
            </w:r>
            <w:r>
              <w:rPr>
                <w:rFonts w:hint="eastAsia" w:ascii="宋体" w:hAnsi="宋体" w:eastAsia="宋体" w:cs="宋体"/>
                <w:color w:val="auto"/>
                <w:sz w:val="21"/>
                <w:szCs w:val="21"/>
              </w:rPr>
              <w:t>）</w:t>
            </w:r>
          </w:p>
        </w:tc>
        <w:tc>
          <w:tcPr>
            <w:tcW w:w="799"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6"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p>
        </w:tc>
        <w:tc>
          <w:tcPr>
            <w:tcW w:w="1159"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p>
        </w:tc>
        <w:tc>
          <w:tcPr>
            <w:tcW w:w="915"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p>
        </w:tc>
        <w:tc>
          <w:tcPr>
            <w:tcW w:w="1209"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削坡整形（m</w:t>
            </w:r>
            <w:r>
              <w:rPr>
                <w:rFonts w:hint="eastAsia" w:ascii="宋体" w:hAnsi="宋体" w:eastAsia="宋体" w:cs="宋体"/>
                <w:color w:val="auto"/>
                <w:sz w:val="21"/>
                <w:szCs w:val="21"/>
                <w:vertAlign w:val="superscript"/>
              </w:rPr>
              <w:t>3</w:t>
            </w:r>
            <w:r>
              <w:rPr>
                <w:rFonts w:hint="eastAsia" w:ascii="宋体" w:hAnsi="宋体" w:eastAsia="宋体" w:cs="宋体"/>
                <w:color w:val="auto"/>
                <w:sz w:val="21"/>
                <w:szCs w:val="21"/>
              </w:rPr>
              <w:t>）</w:t>
            </w:r>
          </w:p>
        </w:tc>
        <w:tc>
          <w:tcPr>
            <w:tcW w:w="799"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6"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p>
        </w:tc>
        <w:tc>
          <w:tcPr>
            <w:tcW w:w="1159"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p>
        </w:tc>
        <w:tc>
          <w:tcPr>
            <w:tcW w:w="915"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p>
        </w:tc>
        <w:tc>
          <w:tcPr>
            <w:tcW w:w="1209"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覆土（m</w:t>
            </w:r>
            <w:r>
              <w:rPr>
                <w:rFonts w:hint="eastAsia" w:ascii="宋体" w:hAnsi="宋体" w:eastAsia="宋体" w:cs="宋体"/>
                <w:color w:val="auto"/>
                <w:sz w:val="21"/>
                <w:szCs w:val="21"/>
                <w:vertAlign w:val="superscript"/>
              </w:rPr>
              <w:t>3</w:t>
            </w:r>
            <w:r>
              <w:rPr>
                <w:rFonts w:hint="eastAsia" w:ascii="宋体" w:hAnsi="宋体" w:eastAsia="宋体" w:cs="宋体"/>
                <w:color w:val="auto"/>
                <w:sz w:val="21"/>
                <w:szCs w:val="21"/>
              </w:rPr>
              <w:t>）</w:t>
            </w:r>
          </w:p>
        </w:tc>
        <w:tc>
          <w:tcPr>
            <w:tcW w:w="799"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36000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6"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p>
        </w:tc>
        <w:tc>
          <w:tcPr>
            <w:tcW w:w="1159"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原废石场</w:t>
            </w:r>
          </w:p>
        </w:tc>
        <w:tc>
          <w:tcPr>
            <w:tcW w:w="915"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122242</w:t>
            </w:r>
          </w:p>
        </w:tc>
        <w:tc>
          <w:tcPr>
            <w:tcW w:w="1209"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清运（m</w:t>
            </w:r>
            <w:r>
              <w:rPr>
                <w:rFonts w:hint="eastAsia" w:ascii="宋体" w:hAnsi="宋体" w:eastAsia="宋体" w:cs="宋体"/>
                <w:color w:val="auto"/>
                <w:sz w:val="21"/>
                <w:szCs w:val="21"/>
                <w:vertAlign w:val="superscript"/>
              </w:rPr>
              <w:t>3</w:t>
            </w:r>
            <w:r>
              <w:rPr>
                <w:rFonts w:hint="eastAsia" w:ascii="宋体" w:hAnsi="宋体" w:eastAsia="宋体" w:cs="宋体"/>
                <w:color w:val="auto"/>
                <w:sz w:val="21"/>
                <w:szCs w:val="21"/>
              </w:rPr>
              <w:t>）</w:t>
            </w:r>
          </w:p>
        </w:tc>
        <w:tc>
          <w:tcPr>
            <w:tcW w:w="799"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500000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6"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p>
        </w:tc>
        <w:tc>
          <w:tcPr>
            <w:tcW w:w="4083" w:type="pct"/>
            <w:gridSpan w:val="4"/>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全年进行地质灾害监测及土地资源监测，并做好监测记录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6" w:type="pct"/>
            <w:vMerge w:val="restar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2021.7.1-</w:t>
            </w:r>
          </w:p>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2022.6.30</w:t>
            </w:r>
          </w:p>
        </w:tc>
        <w:tc>
          <w:tcPr>
            <w:tcW w:w="1159" w:type="pct"/>
            <w:vMerge w:val="restar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原露天采场</w:t>
            </w:r>
          </w:p>
        </w:tc>
        <w:tc>
          <w:tcPr>
            <w:tcW w:w="915" w:type="pct"/>
            <w:vMerge w:val="restar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150329</w:t>
            </w:r>
          </w:p>
        </w:tc>
        <w:tc>
          <w:tcPr>
            <w:tcW w:w="1209"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回填（m</w:t>
            </w:r>
            <w:r>
              <w:rPr>
                <w:rFonts w:hint="eastAsia" w:ascii="宋体" w:hAnsi="宋体" w:eastAsia="宋体" w:cs="宋体"/>
                <w:color w:val="auto"/>
                <w:sz w:val="21"/>
                <w:szCs w:val="21"/>
                <w:vertAlign w:val="superscript"/>
              </w:rPr>
              <w:t>3</w:t>
            </w:r>
            <w:r>
              <w:rPr>
                <w:rFonts w:hint="eastAsia" w:ascii="宋体" w:hAnsi="宋体" w:eastAsia="宋体" w:cs="宋体"/>
                <w:color w:val="auto"/>
                <w:sz w:val="21"/>
                <w:szCs w:val="21"/>
              </w:rPr>
              <w:t>）</w:t>
            </w:r>
          </w:p>
        </w:tc>
        <w:tc>
          <w:tcPr>
            <w:tcW w:w="799"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500000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6"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p>
        </w:tc>
        <w:tc>
          <w:tcPr>
            <w:tcW w:w="1159"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p>
        </w:tc>
        <w:tc>
          <w:tcPr>
            <w:tcW w:w="915"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p>
        </w:tc>
        <w:tc>
          <w:tcPr>
            <w:tcW w:w="1209"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削坡整形（m</w:t>
            </w:r>
            <w:r>
              <w:rPr>
                <w:rFonts w:hint="eastAsia" w:ascii="宋体" w:hAnsi="宋体" w:eastAsia="宋体" w:cs="宋体"/>
                <w:color w:val="auto"/>
                <w:sz w:val="21"/>
                <w:szCs w:val="21"/>
                <w:vertAlign w:val="superscript"/>
              </w:rPr>
              <w:t>3</w:t>
            </w:r>
            <w:r>
              <w:rPr>
                <w:rFonts w:hint="eastAsia" w:ascii="宋体" w:hAnsi="宋体" w:eastAsia="宋体" w:cs="宋体"/>
                <w:color w:val="auto"/>
                <w:sz w:val="21"/>
                <w:szCs w:val="21"/>
              </w:rPr>
              <w:t>）</w:t>
            </w:r>
          </w:p>
        </w:tc>
        <w:tc>
          <w:tcPr>
            <w:tcW w:w="799"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6"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p>
        </w:tc>
        <w:tc>
          <w:tcPr>
            <w:tcW w:w="1159"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p>
        </w:tc>
        <w:tc>
          <w:tcPr>
            <w:tcW w:w="915"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p>
        </w:tc>
        <w:tc>
          <w:tcPr>
            <w:tcW w:w="1209"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覆土（m</w:t>
            </w:r>
            <w:r>
              <w:rPr>
                <w:rFonts w:hint="eastAsia" w:ascii="宋体" w:hAnsi="宋体" w:eastAsia="宋体" w:cs="宋体"/>
                <w:color w:val="auto"/>
                <w:sz w:val="21"/>
                <w:szCs w:val="21"/>
                <w:vertAlign w:val="superscript"/>
              </w:rPr>
              <w:t>3</w:t>
            </w:r>
            <w:r>
              <w:rPr>
                <w:rFonts w:hint="eastAsia" w:ascii="宋体" w:hAnsi="宋体" w:eastAsia="宋体" w:cs="宋体"/>
                <w:color w:val="auto"/>
                <w:sz w:val="21"/>
                <w:szCs w:val="21"/>
              </w:rPr>
              <w:t>）</w:t>
            </w:r>
          </w:p>
        </w:tc>
        <w:tc>
          <w:tcPr>
            <w:tcW w:w="799"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22000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6"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p>
        </w:tc>
        <w:tc>
          <w:tcPr>
            <w:tcW w:w="1159"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p>
        </w:tc>
        <w:tc>
          <w:tcPr>
            <w:tcW w:w="915"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p>
        </w:tc>
        <w:tc>
          <w:tcPr>
            <w:tcW w:w="1209"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栽植榆树（株）</w:t>
            </w:r>
          </w:p>
        </w:tc>
        <w:tc>
          <w:tcPr>
            <w:tcW w:w="799"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15000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6"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p>
        </w:tc>
        <w:tc>
          <w:tcPr>
            <w:tcW w:w="1159"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原废石场</w:t>
            </w:r>
          </w:p>
        </w:tc>
        <w:tc>
          <w:tcPr>
            <w:tcW w:w="915"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122242</w:t>
            </w:r>
          </w:p>
        </w:tc>
        <w:tc>
          <w:tcPr>
            <w:tcW w:w="1209"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清运（m</w:t>
            </w:r>
            <w:r>
              <w:rPr>
                <w:rFonts w:hint="eastAsia" w:ascii="宋体" w:hAnsi="宋体" w:eastAsia="宋体" w:cs="宋体"/>
                <w:color w:val="auto"/>
                <w:sz w:val="21"/>
                <w:szCs w:val="21"/>
                <w:vertAlign w:val="superscript"/>
              </w:rPr>
              <w:t>3</w:t>
            </w:r>
            <w:r>
              <w:rPr>
                <w:rFonts w:hint="eastAsia" w:ascii="宋体" w:hAnsi="宋体" w:eastAsia="宋体" w:cs="宋体"/>
                <w:color w:val="auto"/>
                <w:sz w:val="21"/>
                <w:szCs w:val="21"/>
              </w:rPr>
              <w:t>）</w:t>
            </w:r>
          </w:p>
        </w:tc>
        <w:tc>
          <w:tcPr>
            <w:tcW w:w="799"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500000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6"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p>
        </w:tc>
        <w:tc>
          <w:tcPr>
            <w:tcW w:w="1159"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露天采场</w:t>
            </w:r>
          </w:p>
        </w:tc>
        <w:tc>
          <w:tcPr>
            <w:tcW w:w="915"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lang w:bidi="ar"/>
              </w:rPr>
            </w:pPr>
            <w:r>
              <w:rPr>
                <w:rFonts w:hint="eastAsia" w:ascii="宋体" w:hAnsi="宋体" w:eastAsia="宋体" w:cs="宋体"/>
                <w:color w:val="auto"/>
                <w:sz w:val="21"/>
                <w:szCs w:val="21"/>
                <w:lang w:bidi="ar"/>
              </w:rPr>
              <w:t>65126</w:t>
            </w:r>
          </w:p>
        </w:tc>
        <w:tc>
          <w:tcPr>
            <w:tcW w:w="1209"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表土剥离（m</w:t>
            </w:r>
            <w:r>
              <w:rPr>
                <w:rFonts w:hint="eastAsia" w:ascii="宋体" w:hAnsi="宋体" w:eastAsia="宋体" w:cs="宋体"/>
                <w:color w:val="auto"/>
                <w:sz w:val="21"/>
                <w:szCs w:val="21"/>
                <w:vertAlign w:val="superscript"/>
              </w:rPr>
              <w:t>3</w:t>
            </w:r>
            <w:r>
              <w:rPr>
                <w:rFonts w:hint="eastAsia" w:ascii="宋体" w:hAnsi="宋体" w:eastAsia="宋体" w:cs="宋体"/>
                <w:color w:val="auto"/>
                <w:sz w:val="21"/>
                <w:szCs w:val="21"/>
              </w:rPr>
              <w:t>）</w:t>
            </w:r>
          </w:p>
        </w:tc>
        <w:tc>
          <w:tcPr>
            <w:tcW w:w="799"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7000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6"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p>
        </w:tc>
        <w:tc>
          <w:tcPr>
            <w:tcW w:w="4083" w:type="pct"/>
            <w:gridSpan w:val="4"/>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全年进行地质灾害监测及土地资源监测，并做好监测记录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6" w:type="pct"/>
            <w:vMerge w:val="restar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2022.7.1-</w:t>
            </w:r>
          </w:p>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2023.6.30</w:t>
            </w:r>
          </w:p>
        </w:tc>
        <w:tc>
          <w:tcPr>
            <w:tcW w:w="1159" w:type="pct"/>
            <w:vMerge w:val="restar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原露天采场</w:t>
            </w:r>
          </w:p>
        </w:tc>
        <w:tc>
          <w:tcPr>
            <w:tcW w:w="915" w:type="pct"/>
            <w:vMerge w:val="restar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150329</w:t>
            </w:r>
          </w:p>
        </w:tc>
        <w:tc>
          <w:tcPr>
            <w:tcW w:w="1209"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回填（m</w:t>
            </w:r>
            <w:r>
              <w:rPr>
                <w:rFonts w:hint="eastAsia" w:ascii="宋体" w:hAnsi="宋体" w:eastAsia="宋体" w:cs="宋体"/>
                <w:color w:val="auto"/>
                <w:sz w:val="21"/>
                <w:szCs w:val="21"/>
                <w:vertAlign w:val="superscript"/>
              </w:rPr>
              <w:t>3</w:t>
            </w:r>
            <w:r>
              <w:rPr>
                <w:rFonts w:hint="eastAsia" w:ascii="宋体" w:hAnsi="宋体" w:eastAsia="宋体" w:cs="宋体"/>
                <w:color w:val="auto"/>
                <w:sz w:val="21"/>
                <w:szCs w:val="21"/>
              </w:rPr>
              <w:t>）</w:t>
            </w:r>
          </w:p>
        </w:tc>
        <w:tc>
          <w:tcPr>
            <w:tcW w:w="799"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437566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6"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p>
        </w:tc>
        <w:tc>
          <w:tcPr>
            <w:tcW w:w="1159"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p>
        </w:tc>
        <w:tc>
          <w:tcPr>
            <w:tcW w:w="915"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lang w:bidi="ar"/>
              </w:rPr>
            </w:pPr>
          </w:p>
        </w:tc>
        <w:tc>
          <w:tcPr>
            <w:tcW w:w="1209"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削坡整形（m</w:t>
            </w:r>
            <w:r>
              <w:rPr>
                <w:rFonts w:hint="eastAsia" w:ascii="宋体" w:hAnsi="宋体" w:eastAsia="宋体" w:cs="宋体"/>
                <w:color w:val="auto"/>
                <w:sz w:val="21"/>
                <w:szCs w:val="21"/>
                <w:vertAlign w:val="superscript"/>
              </w:rPr>
              <w:t>3</w:t>
            </w:r>
            <w:r>
              <w:rPr>
                <w:rFonts w:hint="eastAsia" w:ascii="宋体" w:hAnsi="宋体" w:eastAsia="宋体" w:cs="宋体"/>
                <w:color w:val="auto"/>
                <w:sz w:val="21"/>
                <w:szCs w:val="21"/>
              </w:rPr>
              <w:t>）</w:t>
            </w:r>
          </w:p>
        </w:tc>
        <w:tc>
          <w:tcPr>
            <w:tcW w:w="799"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16900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6"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p>
        </w:tc>
        <w:tc>
          <w:tcPr>
            <w:tcW w:w="1159"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p>
        </w:tc>
        <w:tc>
          <w:tcPr>
            <w:tcW w:w="915"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lang w:bidi="ar"/>
              </w:rPr>
            </w:pPr>
          </w:p>
        </w:tc>
        <w:tc>
          <w:tcPr>
            <w:tcW w:w="1209"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覆土（m</w:t>
            </w:r>
            <w:r>
              <w:rPr>
                <w:rFonts w:hint="eastAsia" w:ascii="宋体" w:hAnsi="宋体" w:eastAsia="宋体" w:cs="宋体"/>
                <w:color w:val="auto"/>
                <w:sz w:val="21"/>
                <w:szCs w:val="21"/>
                <w:vertAlign w:val="superscript"/>
              </w:rPr>
              <w:t>3</w:t>
            </w:r>
            <w:r>
              <w:rPr>
                <w:rFonts w:hint="eastAsia" w:ascii="宋体" w:hAnsi="宋体" w:eastAsia="宋体" w:cs="宋体"/>
                <w:color w:val="auto"/>
                <w:sz w:val="21"/>
                <w:szCs w:val="21"/>
              </w:rPr>
              <w:t>）</w:t>
            </w:r>
          </w:p>
        </w:tc>
        <w:tc>
          <w:tcPr>
            <w:tcW w:w="799"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26571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6"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p>
        </w:tc>
        <w:tc>
          <w:tcPr>
            <w:tcW w:w="1159"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p>
        </w:tc>
        <w:tc>
          <w:tcPr>
            <w:tcW w:w="915"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lang w:bidi="ar"/>
              </w:rPr>
            </w:pPr>
          </w:p>
        </w:tc>
        <w:tc>
          <w:tcPr>
            <w:tcW w:w="1209"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栽植榆树（株）</w:t>
            </w:r>
          </w:p>
        </w:tc>
        <w:tc>
          <w:tcPr>
            <w:tcW w:w="799"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15285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6"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p>
        </w:tc>
        <w:tc>
          <w:tcPr>
            <w:tcW w:w="1159" w:type="pct"/>
            <w:vMerge w:val="restar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原废石场</w:t>
            </w:r>
          </w:p>
        </w:tc>
        <w:tc>
          <w:tcPr>
            <w:tcW w:w="915" w:type="pct"/>
            <w:vMerge w:val="restar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lang w:bidi="ar"/>
              </w:rPr>
            </w:pPr>
            <w:r>
              <w:rPr>
                <w:rFonts w:hint="eastAsia" w:ascii="宋体" w:hAnsi="宋体" w:eastAsia="宋体" w:cs="宋体"/>
                <w:color w:val="auto"/>
                <w:sz w:val="21"/>
                <w:szCs w:val="21"/>
                <w:lang w:bidi="ar"/>
              </w:rPr>
              <w:t>122242</w:t>
            </w:r>
          </w:p>
        </w:tc>
        <w:tc>
          <w:tcPr>
            <w:tcW w:w="1209"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清运（m</w:t>
            </w:r>
            <w:r>
              <w:rPr>
                <w:rFonts w:hint="eastAsia" w:ascii="宋体" w:hAnsi="宋体" w:eastAsia="宋体" w:cs="宋体"/>
                <w:color w:val="auto"/>
                <w:sz w:val="21"/>
                <w:szCs w:val="21"/>
                <w:vertAlign w:val="superscript"/>
              </w:rPr>
              <w:t>3</w:t>
            </w:r>
            <w:r>
              <w:rPr>
                <w:rFonts w:hint="eastAsia" w:ascii="宋体" w:hAnsi="宋体" w:eastAsia="宋体" w:cs="宋体"/>
                <w:color w:val="auto"/>
                <w:sz w:val="21"/>
                <w:szCs w:val="21"/>
              </w:rPr>
              <w:t>）</w:t>
            </w:r>
          </w:p>
        </w:tc>
        <w:tc>
          <w:tcPr>
            <w:tcW w:w="799"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437566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6"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p>
        </w:tc>
        <w:tc>
          <w:tcPr>
            <w:tcW w:w="1159"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p>
        </w:tc>
        <w:tc>
          <w:tcPr>
            <w:tcW w:w="915"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lang w:bidi="ar"/>
              </w:rPr>
            </w:pPr>
          </w:p>
        </w:tc>
        <w:tc>
          <w:tcPr>
            <w:tcW w:w="1209"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土方整平（m</w:t>
            </w:r>
            <w:r>
              <w:rPr>
                <w:rFonts w:hint="eastAsia" w:ascii="宋体" w:hAnsi="宋体" w:eastAsia="宋体" w:cs="宋体"/>
                <w:color w:val="auto"/>
                <w:sz w:val="21"/>
                <w:szCs w:val="21"/>
                <w:vertAlign w:val="superscript"/>
              </w:rPr>
              <w:t>3</w:t>
            </w:r>
            <w:r>
              <w:rPr>
                <w:rFonts w:hint="eastAsia" w:ascii="宋体" w:hAnsi="宋体" w:eastAsia="宋体" w:cs="宋体"/>
                <w:color w:val="auto"/>
                <w:sz w:val="21"/>
                <w:szCs w:val="21"/>
              </w:rPr>
              <w:t>）</w:t>
            </w:r>
          </w:p>
        </w:tc>
        <w:tc>
          <w:tcPr>
            <w:tcW w:w="799"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30914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6"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p>
        </w:tc>
        <w:tc>
          <w:tcPr>
            <w:tcW w:w="1159"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p>
        </w:tc>
        <w:tc>
          <w:tcPr>
            <w:tcW w:w="915"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lang w:bidi="ar"/>
              </w:rPr>
            </w:pPr>
          </w:p>
        </w:tc>
        <w:tc>
          <w:tcPr>
            <w:tcW w:w="1209"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栽植榆树（株）</w:t>
            </w:r>
          </w:p>
        </w:tc>
        <w:tc>
          <w:tcPr>
            <w:tcW w:w="799"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15457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6"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p>
        </w:tc>
        <w:tc>
          <w:tcPr>
            <w:tcW w:w="1159" w:type="pct"/>
            <w:vMerge w:val="restar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矿区道路（部分）</w:t>
            </w:r>
          </w:p>
        </w:tc>
        <w:tc>
          <w:tcPr>
            <w:tcW w:w="915" w:type="pct"/>
            <w:vMerge w:val="restar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lang w:bidi="ar"/>
              </w:rPr>
            </w:pPr>
            <w:r>
              <w:rPr>
                <w:rFonts w:hint="eastAsia" w:ascii="宋体" w:hAnsi="宋体" w:eastAsia="宋体" w:cs="宋体"/>
                <w:color w:val="auto"/>
                <w:sz w:val="21"/>
                <w:szCs w:val="21"/>
                <w:lang w:bidi="ar"/>
              </w:rPr>
              <w:t>208</w:t>
            </w:r>
          </w:p>
        </w:tc>
        <w:tc>
          <w:tcPr>
            <w:tcW w:w="1209"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覆土（m</w:t>
            </w:r>
            <w:r>
              <w:rPr>
                <w:rFonts w:hint="eastAsia" w:ascii="宋体" w:hAnsi="宋体" w:eastAsia="宋体" w:cs="宋体"/>
                <w:color w:val="auto"/>
                <w:sz w:val="21"/>
                <w:szCs w:val="21"/>
                <w:vertAlign w:val="superscript"/>
              </w:rPr>
              <w:t>3</w:t>
            </w:r>
            <w:r>
              <w:rPr>
                <w:rFonts w:hint="eastAsia" w:ascii="宋体" w:hAnsi="宋体" w:eastAsia="宋体" w:cs="宋体"/>
                <w:color w:val="auto"/>
                <w:sz w:val="21"/>
                <w:szCs w:val="21"/>
              </w:rPr>
              <w:t>）</w:t>
            </w:r>
          </w:p>
        </w:tc>
        <w:tc>
          <w:tcPr>
            <w:tcW w:w="799"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6"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p>
        </w:tc>
        <w:tc>
          <w:tcPr>
            <w:tcW w:w="1159"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p>
        </w:tc>
        <w:tc>
          <w:tcPr>
            <w:tcW w:w="915"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lang w:bidi="ar"/>
              </w:rPr>
            </w:pPr>
          </w:p>
        </w:tc>
        <w:tc>
          <w:tcPr>
            <w:tcW w:w="1209"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撒播草籽（m</w:t>
            </w:r>
            <w:r>
              <w:rPr>
                <w:rFonts w:hint="eastAsia" w:ascii="宋体" w:hAnsi="宋体" w:eastAsia="宋体" w:cs="宋体"/>
                <w:color w:val="auto"/>
                <w:sz w:val="21"/>
                <w:szCs w:val="21"/>
                <w:vertAlign w:val="superscript"/>
              </w:rPr>
              <w:t>2</w:t>
            </w:r>
            <w:r>
              <w:rPr>
                <w:rFonts w:hint="eastAsia" w:ascii="宋体" w:hAnsi="宋体" w:eastAsia="宋体" w:cs="宋体"/>
                <w:color w:val="auto"/>
                <w:sz w:val="21"/>
                <w:szCs w:val="21"/>
              </w:rPr>
              <w:t>）</w:t>
            </w:r>
          </w:p>
        </w:tc>
        <w:tc>
          <w:tcPr>
            <w:tcW w:w="799"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208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6"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p>
        </w:tc>
        <w:tc>
          <w:tcPr>
            <w:tcW w:w="1159" w:type="pct"/>
            <w:vMerge w:val="restar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露天采场</w:t>
            </w:r>
          </w:p>
        </w:tc>
        <w:tc>
          <w:tcPr>
            <w:tcW w:w="915" w:type="pct"/>
            <w:vMerge w:val="restar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lang w:bidi="ar"/>
              </w:rPr>
            </w:pPr>
            <w:r>
              <w:rPr>
                <w:rFonts w:hint="eastAsia" w:ascii="宋体" w:hAnsi="宋体" w:eastAsia="宋体" w:cs="宋体"/>
                <w:color w:val="auto"/>
                <w:sz w:val="21"/>
                <w:szCs w:val="21"/>
                <w:lang w:bidi="ar"/>
              </w:rPr>
              <w:t>65126</w:t>
            </w:r>
          </w:p>
        </w:tc>
        <w:tc>
          <w:tcPr>
            <w:tcW w:w="1209"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表土剥离（m</w:t>
            </w:r>
            <w:r>
              <w:rPr>
                <w:rFonts w:hint="eastAsia" w:ascii="宋体" w:hAnsi="宋体" w:eastAsia="宋体" w:cs="宋体"/>
                <w:color w:val="auto"/>
                <w:sz w:val="21"/>
                <w:szCs w:val="21"/>
                <w:vertAlign w:val="superscript"/>
              </w:rPr>
              <w:t>3</w:t>
            </w:r>
            <w:r>
              <w:rPr>
                <w:rFonts w:hint="eastAsia" w:ascii="宋体" w:hAnsi="宋体" w:eastAsia="宋体" w:cs="宋体"/>
                <w:color w:val="auto"/>
                <w:sz w:val="21"/>
                <w:szCs w:val="21"/>
              </w:rPr>
              <w:t>）</w:t>
            </w:r>
          </w:p>
        </w:tc>
        <w:tc>
          <w:tcPr>
            <w:tcW w:w="799"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7000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6"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p>
        </w:tc>
        <w:tc>
          <w:tcPr>
            <w:tcW w:w="1159"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p>
        </w:tc>
        <w:tc>
          <w:tcPr>
            <w:tcW w:w="915"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lang w:bidi="ar"/>
              </w:rPr>
            </w:pPr>
          </w:p>
        </w:tc>
        <w:tc>
          <w:tcPr>
            <w:tcW w:w="1209"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警示牌（块）</w:t>
            </w:r>
          </w:p>
        </w:tc>
        <w:tc>
          <w:tcPr>
            <w:tcW w:w="799"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6"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p>
        </w:tc>
        <w:tc>
          <w:tcPr>
            <w:tcW w:w="1159"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p>
        </w:tc>
        <w:tc>
          <w:tcPr>
            <w:tcW w:w="915"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lang w:bidi="ar"/>
              </w:rPr>
            </w:pPr>
          </w:p>
        </w:tc>
        <w:tc>
          <w:tcPr>
            <w:tcW w:w="1209"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网围栏（m）</w:t>
            </w:r>
          </w:p>
        </w:tc>
        <w:tc>
          <w:tcPr>
            <w:tcW w:w="799"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808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6"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p>
        </w:tc>
        <w:tc>
          <w:tcPr>
            <w:tcW w:w="4083" w:type="pct"/>
            <w:gridSpan w:val="4"/>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全年进行地质灾害监测及土地资源监测，并做好监测记录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6" w:type="pct"/>
            <w:vMerge w:val="restar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2023.7.1-</w:t>
            </w:r>
          </w:p>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2024.6.30</w:t>
            </w:r>
          </w:p>
        </w:tc>
        <w:tc>
          <w:tcPr>
            <w:tcW w:w="1159" w:type="pct"/>
            <w:vMerge w:val="restar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露天采场</w:t>
            </w:r>
          </w:p>
        </w:tc>
        <w:tc>
          <w:tcPr>
            <w:tcW w:w="915" w:type="pct"/>
            <w:vMerge w:val="restar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lang w:bidi="ar"/>
              </w:rPr>
            </w:pPr>
            <w:r>
              <w:rPr>
                <w:rFonts w:hint="eastAsia" w:ascii="宋体" w:hAnsi="宋体" w:eastAsia="宋体" w:cs="宋体"/>
                <w:color w:val="auto"/>
                <w:sz w:val="21"/>
                <w:szCs w:val="21"/>
                <w:lang w:bidi="ar"/>
              </w:rPr>
              <w:t>65126</w:t>
            </w:r>
          </w:p>
        </w:tc>
        <w:tc>
          <w:tcPr>
            <w:tcW w:w="1209"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表土剥离（m</w:t>
            </w:r>
            <w:r>
              <w:rPr>
                <w:rFonts w:hint="eastAsia" w:ascii="宋体" w:hAnsi="宋体" w:eastAsia="宋体" w:cs="宋体"/>
                <w:color w:val="auto"/>
                <w:sz w:val="21"/>
                <w:szCs w:val="21"/>
                <w:vertAlign w:val="superscript"/>
              </w:rPr>
              <w:t>3</w:t>
            </w:r>
            <w:r>
              <w:rPr>
                <w:rFonts w:hint="eastAsia" w:ascii="宋体" w:hAnsi="宋体" w:eastAsia="宋体" w:cs="宋体"/>
                <w:color w:val="auto"/>
                <w:sz w:val="21"/>
                <w:szCs w:val="21"/>
              </w:rPr>
              <w:t>）</w:t>
            </w:r>
          </w:p>
        </w:tc>
        <w:tc>
          <w:tcPr>
            <w:tcW w:w="799"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7000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6"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p>
        </w:tc>
        <w:tc>
          <w:tcPr>
            <w:tcW w:w="1159"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p>
        </w:tc>
        <w:tc>
          <w:tcPr>
            <w:tcW w:w="915"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lang w:bidi="ar"/>
              </w:rPr>
            </w:pPr>
          </w:p>
        </w:tc>
        <w:tc>
          <w:tcPr>
            <w:tcW w:w="1209"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危岩体清理（m</w:t>
            </w:r>
            <w:r>
              <w:rPr>
                <w:rFonts w:hint="eastAsia" w:ascii="宋体" w:hAnsi="宋体" w:eastAsia="宋体" w:cs="宋体"/>
                <w:color w:val="auto"/>
                <w:sz w:val="21"/>
                <w:szCs w:val="21"/>
                <w:vertAlign w:val="superscript"/>
              </w:rPr>
              <w:t>3</w:t>
            </w:r>
            <w:r>
              <w:rPr>
                <w:rFonts w:hint="eastAsia" w:ascii="宋体" w:hAnsi="宋体" w:eastAsia="宋体" w:cs="宋体"/>
                <w:color w:val="auto"/>
                <w:sz w:val="21"/>
                <w:szCs w:val="21"/>
              </w:rPr>
              <w:t>）</w:t>
            </w:r>
          </w:p>
        </w:tc>
        <w:tc>
          <w:tcPr>
            <w:tcW w:w="799"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640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6"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p>
        </w:tc>
        <w:tc>
          <w:tcPr>
            <w:tcW w:w="4083" w:type="pct"/>
            <w:gridSpan w:val="4"/>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全年进行地质灾害监测及土地资源监测，并做好监测记录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6" w:type="pct"/>
            <w:vMerge w:val="restar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2024.7.1-</w:t>
            </w:r>
          </w:p>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2025.6.30</w:t>
            </w:r>
          </w:p>
        </w:tc>
        <w:tc>
          <w:tcPr>
            <w:tcW w:w="1159" w:type="pct"/>
            <w:vMerge w:val="restar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露天采场</w:t>
            </w:r>
          </w:p>
        </w:tc>
        <w:tc>
          <w:tcPr>
            <w:tcW w:w="915" w:type="pct"/>
            <w:vMerge w:val="restar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65126</w:t>
            </w:r>
          </w:p>
        </w:tc>
        <w:tc>
          <w:tcPr>
            <w:tcW w:w="1209"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表土剥离（m</w:t>
            </w:r>
            <w:r>
              <w:rPr>
                <w:rFonts w:hint="eastAsia" w:ascii="宋体" w:hAnsi="宋体" w:eastAsia="宋体" w:cs="宋体"/>
                <w:color w:val="auto"/>
                <w:sz w:val="21"/>
                <w:szCs w:val="21"/>
                <w:vertAlign w:val="superscript"/>
              </w:rPr>
              <w:t>3</w:t>
            </w:r>
            <w:r>
              <w:rPr>
                <w:rFonts w:hint="eastAsia" w:ascii="宋体" w:hAnsi="宋体" w:eastAsia="宋体" w:cs="宋体"/>
                <w:color w:val="auto"/>
                <w:sz w:val="21"/>
                <w:szCs w:val="21"/>
              </w:rPr>
              <w:t>）</w:t>
            </w:r>
          </w:p>
        </w:tc>
        <w:tc>
          <w:tcPr>
            <w:tcW w:w="799"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7469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6"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p>
        </w:tc>
        <w:tc>
          <w:tcPr>
            <w:tcW w:w="1159"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p>
        </w:tc>
        <w:tc>
          <w:tcPr>
            <w:tcW w:w="915"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lang w:bidi="ar"/>
              </w:rPr>
            </w:pPr>
          </w:p>
        </w:tc>
        <w:tc>
          <w:tcPr>
            <w:tcW w:w="1209"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危岩体清理（m</w:t>
            </w:r>
            <w:r>
              <w:rPr>
                <w:rFonts w:hint="eastAsia" w:ascii="宋体" w:hAnsi="宋体" w:eastAsia="宋体" w:cs="宋体"/>
                <w:color w:val="auto"/>
                <w:sz w:val="21"/>
                <w:szCs w:val="21"/>
                <w:vertAlign w:val="superscript"/>
              </w:rPr>
              <w:t>3</w:t>
            </w:r>
            <w:r>
              <w:rPr>
                <w:rFonts w:hint="eastAsia" w:ascii="宋体" w:hAnsi="宋体" w:eastAsia="宋体" w:cs="宋体"/>
                <w:color w:val="auto"/>
                <w:sz w:val="21"/>
                <w:szCs w:val="21"/>
              </w:rPr>
              <w:t>）</w:t>
            </w:r>
          </w:p>
        </w:tc>
        <w:tc>
          <w:tcPr>
            <w:tcW w:w="799"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640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6"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p>
        </w:tc>
        <w:tc>
          <w:tcPr>
            <w:tcW w:w="1159"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表土存放场</w:t>
            </w:r>
          </w:p>
        </w:tc>
        <w:tc>
          <w:tcPr>
            <w:tcW w:w="915"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lang w:bidi="ar"/>
              </w:rPr>
            </w:pPr>
            <w:r>
              <w:rPr>
                <w:rFonts w:hint="eastAsia" w:ascii="宋体" w:hAnsi="宋体" w:eastAsia="宋体" w:cs="宋体"/>
                <w:color w:val="auto"/>
                <w:sz w:val="21"/>
                <w:szCs w:val="21"/>
                <w:lang w:bidi="ar"/>
              </w:rPr>
              <w:t>2025</w:t>
            </w:r>
          </w:p>
        </w:tc>
        <w:tc>
          <w:tcPr>
            <w:tcW w:w="1209"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撒播草籽（m</w:t>
            </w:r>
            <w:r>
              <w:rPr>
                <w:rFonts w:hint="eastAsia" w:ascii="宋体" w:hAnsi="宋体" w:eastAsia="宋体" w:cs="宋体"/>
                <w:color w:val="auto"/>
                <w:sz w:val="21"/>
                <w:szCs w:val="21"/>
                <w:vertAlign w:val="superscript"/>
              </w:rPr>
              <w:t>2</w:t>
            </w:r>
            <w:r>
              <w:rPr>
                <w:rFonts w:hint="eastAsia" w:ascii="宋体" w:hAnsi="宋体" w:eastAsia="宋体" w:cs="宋体"/>
                <w:color w:val="auto"/>
                <w:sz w:val="21"/>
                <w:szCs w:val="21"/>
              </w:rPr>
              <w:t>）</w:t>
            </w:r>
          </w:p>
        </w:tc>
        <w:tc>
          <w:tcPr>
            <w:tcW w:w="799" w:type="pct"/>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6" w:type="pct"/>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p>
        </w:tc>
        <w:tc>
          <w:tcPr>
            <w:tcW w:w="4083" w:type="pct"/>
            <w:gridSpan w:val="4"/>
            <w:noWrap w:val="0"/>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center"/>
              <w:rPr>
                <w:rFonts w:hint="eastAsia" w:ascii="宋体" w:hAnsi="宋体" w:eastAsia="宋体" w:cs="宋体"/>
                <w:color w:val="auto"/>
                <w:sz w:val="21"/>
                <w:szCs w:val="21"/>
              </w:rPr>
            </w:pPr>
            <w:r>
              <w:rPr>
                <w:rFonts w:hint="eastAsia" w:ascii="宋体" w:hAnsi="宋体" w:eastAsia="宋体" w:cs="宋体"/>
                <w:color w:val="auto"/>
                <w:sz w:val="21"/>
                <w:szCs w:val="21"/>
                <w:lang w:bidi="ar"/>
              </w:rPr>
              <w:t>全年进行地质灾害监测及土地资源监测，并做好监测记录</w:t>
            </w:r>
          </w:p>
        </w:tc>
      </w:tr>
    </w:tbl>
    <w:p>
      <w:pPr>
        <w:pStyle w:val="5"/>
        <w:adjustRightInd/>
        <w:snapToGrid/>
        <w:spacing w:before="0"/>
        <w:jc w:val="both"/>
        <w:rPr>
          <w:rFonts w:hint="eastAsia" w:ascii="宋体" w:hAnsi="宋体" w:eastAsia="宋体" w:cs="宋体"/>
          <w:color w:val="auto"/>
          <w:sz w:val="30"/>
          <w:szCs w:val="30"/>
        </w:rPr>
      </w:pPr>
      <w:bookmarkStart w:id="16" w:name="_Toc25235"/>
      <w:r>
        <w:rPr>
          <w:rFonts w:hint="eastAsia" w:ascii="宋体" w:hAnsi="宋体" w:eastAsia="宋体" w:cs="宋体"/>
          <w:color w:val="auto"/>
          <w:sz w:val="28"/>
          <w:szCs w:val="28"/>
        </w:rPr>
        <w:t>（三）矿山地质环境治理方案执行情况</w:t>
      </w:r>
      <w:bookmarkEnd w:id="16"/>
    </w:p>
    <w:p>
      <w:pPr>
        <w:autoSpaceDE w:val="0"/>
        <w:autoSpaceDN w:val="0"/>
        <w:ind w:firstLine="480"/>
        <w:rPr>
          <w:rFonts w:hint="eastAsia" w:ascii="宋体" w:hAnsi="宋体" w:eastAsia="宋体" w:cs="宋体"/>
          <w:color w:val="auto"/>
          <w:lang w:val="en-US" w:eastAsia="zh-CN"/>
        </w:rPr>
      </w:pPr>
      <w:r>
        <w:rPr>
          <w:rFonts w:hint="eastAsia" w:ascii="宋体" w:hAnsi="宋体" w:eastAsia="宋体" w:cs="宋体"/>
          <w:b/>
          <w:bCs/>
          <w:color w:val="auto"/>
          <w:lang w:val="en-US" w:eastAsia="zh-CN"/>
        </w:rPr>
        <w:t>1、分期治理方案执行情况</w:t>
      </w:r>
    </w:p>
    <w:p>
      <w:pPr>
        <w:autoSpaceDE w:val="0"/>
        <w:autoSpaceDN w:val="0"/>
        <w:ind w:firstLine="480"/>
        <w:rPr>
          <w:rFonts w:hint="eastAsia" w:ascii="宋体" w:hAnsi="宋体" w:eastAsia="宋体" w:cs="宋体"/>
          <w:color w:val="auto"/>
        </w:rPr>
      </w:pPr>
      <w:r>
        <w:rPr>
          <w:rFonts w:hint="eastAsia" w:ascii="宋体" w:hAnsi="宋体" w:eastAsia="宋体" w:cs="宋体"/>
          <w:color w:val="auto"/>
        </w:rPr>
        <w:t>2013年12月，</w:t>
      </w:r>
      <w:r>
        <w:rPr>
          <w:rFonts w:hint="eastAsia" w:ascii="宋体" w:hAnsi="宋体" w:eastAsia="宋体" w:cs="宋体"/>
          <w:color w:val="auto"/>
          <w:szCs w:val="24"/>
        </w:rPr>
        <w:t>赤峰冠诚地质勘查有限责任公司编</w:t>
      </w:r>
      <w:r>
        <w:rPr>
          <w:rFonts w:hint="eastAsia" w:ascii="宋体" w:hAnsi="宋体" w:eastAsia="宋体" w:cs="宋体"/>
          <w:color w:val="auto"/>
        </w:rPr>
        <w:t>制的《内蒙古自治区平庄煤田原五家煤矿一井东部碳质泥岩矿矿山地质环境分期治理及土地复垦方案（2012.9</w:t>
      </w:r>
      <w:r>
        <w:rPr>
          <w:rFonts w:hint="eastAsia" w:ascii="宋体" w:hAnsi="宋体" w:eastAsia="宋体" w:cs="宋体"/>
          <w:color w:val="auto"/>
          <w:lang w:val="en-US" w:eastAsia="zh-CN"/>
        </w:rPr>
        <w:t>～</w:t>
      </w:r>
      <w:r>
        <w:rPr>
          <w:rFonts w:hint="eastAsia" w:ascii="宋体" w:hAnsi="宋体" w:eastAsia="宋体" w:cs="宋体"/>
          <w:color w:val="auto"/>
        </w:rPr>
        <w:t>2014.8）》；</w:t>
      </w:r>
    </w:p>
    <w:p>
      <w:pPr>
        <w:ind w:firstLine="480"/>
        <w:rPr>
          <w:rFonts w:hint="eastAsia" w:ascii="宋体" w:hAnsi="宋体" w:eastAsia="宋体" w:cs="宋体"/>
          <w:color w:val="auto"/>
          <w:lang w:val="en-US" w:eastAsia="zh-CN"/>
        </w:rPr>
      </w:pPr>
      <w:r>
        <w:rPr>
          <w:rFonts w:hint="eastAsia" w:ascii="宋体" w:hAnsi="宋体" w:eastAsia="宋体" w:cs="宋体"/>
          <w:color w:val="auto"/>
          <w:lang w:val="en-US" w:eastAsia="zh-CN"/>
        </w:rPr>
        <w:t>设计治理工程措施：</w:t>
      </w:r>
      <w:r>
        <w:rPr>
          <w:rFonts w:hint="eastAsia" w:ascii="宋体" w:hAnsi="宋体" w:eastAsia="宋体" w:cs="宋体"/>
          <w:strike w:val="0"/>
          <w:dstrike w:val="0"/>
          <w:color w:val="auto"/>
          <w:szCs w:val="24"/>
        </w:rPr>
        <w:t>①对露天采坑边坡及废石场稳定性进行监测；对北台子村内民用井水质进行监测；②对露天采坑南部回填区顶部台阶（634.88m标高）及坡面进行覆土、平整、恢复植被；对露天采坑边坡及废石场稳定性进行监测；对北台子村内民用井水质进行监测；</w:t>
      </w:r>
    </w:p>
    <w:p>
      <w:pPr>
        <w:autoSpaceDE w:val="0"/>
        <w:autoSpaceDN w:val="0"/>
        <w:ind w:firstLine="480"/>
        <w:rPr>
          <w:rFonts w:hint="eastAsia" w:ascii="宋体" w:hAnsi="宋体" w:eastAsia="宋体" w:cs="宋体"/>
          <w:color w:val="auto"/>
        </w:rPr>
      </w:pPr>
      <w:r>
        <w:rPr>
          <w:rFonts w:hint="eastAsia" w:ascii="宋体" w:hAnsi="宋体" w:eastAsia="宋体" w:cs="宋体"/>
          <w:color w:val="auto"/>
          <w:lang w:val="en-US" w:eastAsia="zh-CN"/>
        </w:rPr>
        <w:t>执行情况：</w:t>
      </w:r>
      <w:r>
        <w:rPr>
          <w:rFonts w:hint="eastAsia" w:ascii="宋体" w:hAnsi="宋体" w:eastAsia="宋体" w:cs="宋体"/>
          <w:color w:val="auto"/>
        </w:rPr>
        <w:t>2017年1月5日，通过了赤峰市国土资源局组织的对一分期治理工程的验收，验收意见书编号为17008。</w:t>
      </w:r>
    </w:p>
    <w:p>
      <w:pPr>
        <w:autoSpaceDE w:val="0"/>
        <w:autoSpaceDN w:val="0"/>
        <w:ind w:firstLine="480"/>
        <w:rPr>
          <w:rFonts w:hint="eastAsia" w:ascii="宋体" w:hAnsi="宋体" w:eastAsia="宋体" w:cs="宋体"/>
          <w:color w:val="auto"/>
          <w:lang w:val="en-US" w:eastAsia="zh-CN"/>
        </w:rPr>
      </w:pPr>
      <w:r>
        <w:rPr>
          <w:rFonts w:hint="eastAsia" w:ascii="宋体" w:hAnsi="宋体" w:eastAsia="宋体" w:cs="宋体"/>
          <w:b/>
          <w:bCs/>
          <w:color w:val="auto"/>
          <w:szCs w:val="24"/>
          <w:lang w:val="en-US" w:eastAsia="zh-CN"/>
        </w:rPr>
        <w:t>2、年度治理计划书执行情况</w:t>
      </w:r>
    </w:p>
    <w:p>
      <w:pPr>
        <w:autoSpaceDE w:val="0"/>
        <w:autoSpaceDN w:val="0"/>
        <w:ind w:firstLine="480"/>
        <w:rPr>
          <w:rFonts w:hint="eastAsia" w:ascii="宋体" w:hAnsi="宋体" w:eastAsia="宋体" w:cs="宋体"/>
          <w:color w:val="auto"/>
          <w:szCs w:val="24"/>
          <w:lang w:val="zh-CN" w:eastAsia="zh-CN"/>
        </w:rPr>
      </w:pPr>
      <w:r>
        <w:rPr>
          <w:rFonts w:hint="eastAsia" w:ascii="宋体" w:hAnsi="宋体" w:eastAsia="宋体" w:cs="宋体"/>
          <w:color w:val="auto"/>
          <w:lang w:eastAsia="zh-CN"/>
        </w:rPr>
        <w:t>（</w:t>
      </w:r>
      <w:r>
        <w:rPr>
          <w:rFonts w:hint="eastAsia" w:ascii="宋体" w:hAnsi="宋体" w:eastAsia="宋体" w:cs="宋体"/>
          <w:color w:val="auto"/>
          <w:lang w:val="en-US" w:eastAsia="zh-CN"/>
        </w:rPr>
        <w:t>1</w:t>
      </w:r>
      <w:r>
        <w:rPr>
          <w:rFonts w:hint="eastAsia" w:ascii="宋体" w:hAnsi="宋体" w:eastAsia="宋体" w:cs="宋体"/>
          <w:color w:val="auto"/>
          <w:lang w:eastAsia="zh-CN"/>
        </w:rPr>
        <w:t>）</w:t>
      </w:r>
      <w:r>
        <w:rPr>
          <w:rFonts w:hint="eastAsia" w:ascii="宋体" w:hAnsi="宋体" w:eastAsia="宋体" w:cs="宋体"/>
          <w:color w:val="auto"/>
        </w:rPr>
        <w:t>20</w:t>
      </w:r>
      <w:r>
        <w:rPr>
          <w:rFonts w:hint="eastAsia" w:ascii="宋体" w:hAnsi="宋体" w:eastAsia="宋体" w:cs="宋体"/>
          <w:color w:val="auto"/>
          <w:lang w:val="en-US" w:eastAsia="zh-CN"/>
        </w:rPr>
        <w:t>22</w:t>
      </w:r>
      <w:r>
        <w:rPr>
          <w:rFonts w:hint="eastAsia" w:ascii="宋体" w:hAnsi="宋体" w:eastAsia="宋体" w:cs="宋体"/>
          <w:color w:val="auto"/>
        </w:rPr>
        <w:t>年</w:t>
      </w:r>
      <w:r>
        <w:rPr>
          <w:rFonts w:hint="eastAsia" w:ascii="宋体" w:hAnsi="宋体" w:eastAsia="宋体" w:cs="宋体"/>
          <w:color w:val="auto"/>
          <w:lang w:val="en-US" w:eastAsia="zh-CN"/>
        </w:rPr>
        <w:t>3</w:t>
      </w:r>
      <w:r>
        <w:rPr>
          <w:rFonts w:hint="eastAsia" w:ascii="宋体" w:hAnsi="宋体" w:eastAsia="宋体" w:cs="宋体"/>
          <w:color w:val="auto"/>
        </w:rPr>
        <w:t>月，元宝山区五家镇嘉润碳质泥岩有限责任公司</w:t>
      </w:r>
      <w:r>
        <w:rPr>
          <w:rFonts w:hint="eastAsia" w:ascii="宋体" w:hAnsi="宋体" w:eastAsia="宋体" w:cs="宋体"/>
          <w:color w:val="auto"/>
          <w:szCs w:val="24"/>
          <w:lang w:eastAsia="zh-CN"/>
        </w:rPr>
        <w:t>提交</w:t>
      </w:r>
      <w:r>
        <w:rPr>
          <w:rFonts w:hint="eastAsia" w:ascii="宋体" w:hAnsi="宋体" w:eastAsia="宋体" w:cs="宋体"/>
          <w:color w:val="auto"/>
        </w:rPr>
        <w:t>的《内蒙古自治区平庄煤田原五家煤矿一井东部炭质泥岩矿202</w:t>
      </w:r>
      <w:r>
        <w:rPr>
          <w:rFonts w:hint="eastAsia" w:ascii="宋体" w:hAnsi="宋体" w:eastAsia="宋体" w:cs="宋体"/>
          <w:color w:val="auto"/>
          <w:lang w:val="en-US" w:eastAsia="zh-CN"/>
        </w:rPr>
        <w:t>2</w:t>
      </w:r>
      <w:r>
        <w:rPr>
          <w:rFonts w:hint="eastAsia" w:ascii="宋体" w:hAnsi="宋体" w:eastAsia="宋体" w:cs="宋体"/>
          <w:color w:val="auto"/>
        </w:rPr>
        <w:t>年度矿山地质环境治理计划书》</w:t>
      </w:r>
      <w:r>
        <w:rPr>
          <w:rFonts w:hint="eastAsia" w:ascii="宋体" w:hAnsi="宋体" w:eastAsia="宋体" w:cs="宋体"/>
          <w:color w:val="auto"/>
          <w:lang w:eastAsia="zh-CN"/>
        </w:rPr>
        <w:t>。</w:t>
      </w:r>
    </w:p>
    <w:p>
      <w:pPr>
        <w:autoSpaceDE w:val="0"/>
        <w:autoSpaceDN w:val="0"/>
        <w:ind w:firstLine="480"/>
        <w:rPr>
          <w:rFonts w:hint="eastAsia" w:ascii="宋体" w:hAnsi="宋体" w:eastAsia="宋体" w:cs="宋体"/>
          <w:color w:val="auto"/>
          <w:lang w:val="en-US" w:eastAsia="zh-CN"/>
        </w:rPr>
      </w:pPr>
      <w:r>
        <w:rPr>
          <w:rFonts w:hint="eastAsia" w:ascii="宋体" w:hAnsi="宋体" w:eastAsia="宋体" w:cs="宋体"/>
          <w:color w:val="auto"/>
          <w:lang w:val="en-US" w:eastAsia="zh-CN"/>
        </w:rPr>
        <w:t>设计治理工程措施：</w:t>
      </w:r>
      <w:r>
        <w:rPr>
          <w:rFonts w:hint="eastAsia" w:ascii="宋体" w:hAnsi="宋体" w:eastAsia="宋体" w:cs="宋体"/>
          <w:color w:val="auto"/>
          <w:szCs w:val="24"/>
          <w:lang w:val="zh-CN"/>
        </w:rPr>
        <w:t>对部分滑坡体进行削坡减荷，对削坡后的场地进行覆土、恢复植被。</w:t>
      </w:r>
    </w:p>
    <w:p>
      <w:pPr>
        <w:autoSpaceDE w:val="0"/>
        <w:autoSpaceDN w:val="0"/>
        <w:ind w:firstLine="480"/>
        <w:rPr>
          <w:rFonts w:hint="eastAsia" w:ascii="宋体" w:hAnsi="宋体" w:eastAsia="宋体" w:cs="宋体"/>
          <w:color w:val="auto"/>
          <w:lang w:val="en-US" w:eastAsia="zh-CN"/>
        </w:rPr>
      </w:pPr>
      <w:r>
        <w:rPr>
          <w:rFonts w:hint="eastAsia" w:ascii="宋体" w:hAnsi="宋体" w:eastAsia="宋体" w:cs="宋体"/>
          <w:color w:val="auto"/>
          <w:lang w:val="en-US" w:eastAsia="zh-CN"/>
        </w:rPr>
        <w:t>执行情况：矿山已完成2022年度设计治理工程，</w:t>
      </w:r>
      <w:r>
        <w:rPr>
          <w:rFonts w:hint="eastAsia" w:ascii="宋体" w:hAnsi="宋体" w:eastAsia="宋体" w:cs="宋体"/>
          <w:color w:val="auto"/>
          <w:sz w:val="24"/>
          <w:szCs w:val="24"/>
          <w:lang w:val="en-US" w:eastAsia="zh-CN"/>
        </w:rPr>
        <w:t>并通过现场核查、验收。</w:t>
      </w:r>
    </w:p>
    <w:p>
      <w:pPr>
        <w:autoSpaceDE w:val="0"/>
        <w:autoSpaceDN w:val="0"/>
        <w:ind w:left="0" w:leftChars="0" w:firstLine="0" w:firstLineChars="0"/>
        <w:jc w:val="center"/>
        <w:rPr>
          <w:rFonts w:hint="eastAsia" w:ascii="宋体" w:hAnsi="宋体" w:eastAsia="宋体" w:cs="宋体"/>
          <w:color w:val="auto"/>
        </w:rPr>
      </w:pPr>
      <w:r>
        <w:rPr>
          <w:rFonts w:hint="eastAsia" w:ascii="宋体" w:hAnsi="宋体" w:eastAsia="宋体" w:cs="宋体"/>
          <w:color w:val="auto"/>
        </w:rPr>
        <w:drawing>
          <wp:inline distT="0" distB="0" distL="114300" distR="114300">
            <wp:extent cx="3082925" cy="1655445"/>
            <wp:effectExtent l="0" t="0" r="3175" b="190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4"/>
                    <a:stretch>
                      <a:fillRect/>
                    </a:stretch>
                  </pic:blipFill>
                  <pic:spPr>
                    <a:xfrm>
                      <a:off x="0" y="0"/>
                      <a:ext cx="3082925" cy="1655445"/>
                    </a:xfrm>
                    <a:prstGeom prst="rect">
                      <a:avLst/>
                    </a:prstGeom>
                    <a:noFill/>
                    <a:ln>
                      <a:noFill/>
                    </a:ln>
                  </pic:spPr>
                </pic:pic>
              </a:graphicData>
            </a:graphic>
          </wp:inline>
        </w:drawing>
      </w:r>
    </w:p>
    <w:p>
      <w:pPr>
        <w:autoSpaceDE w:val="0"/>
        <w:autoSpaceDN w:val="0"/>
        <w:ind w:left="0" w:leftChars="0" w:firstLine="0" w:firstLineChars="0"/>
        <w:jc w:val="center"/>
        <w:rPr>
          <w:rFonts w:hint="eastAsia" w:ascii="宋体" w:hAnsi="宋体" w:eastAsia="宋体" w:cs="宋体"/>
          <w:color w:val="auto"/>
          <w:lang w:val="en-US" w:eastAsia="zh-CN"/>
        </w:rPr>
      </w:pPr>
      <w:r>
        <w:rPr>
          <w:rFonts w:hint="eastAsia" w:ascii="宋体" w:hAnsi="宋体" w:eastAsia="宋体" w:cs="宋体"/>
          <w:b w:val="0"/>
          <w:bCs w:val="0"/>
          <w:color w:val="auto"/>
          <w:kern w:val="0"/>
          <w:sz w:val="24"/>
          <w:szCs w:val="24"/>
          <w:lang w:val="en-US" w:eastAsia="zh-CN" w:bidi="ar-SA"/>
        </w:rPr>
        <w:t>照片2-1  2022年度治理效果</w:t>
      </w:r>
    </w:p>
    <w:p>
      <w:pPr>
        <w:autoSpaceDE w:val="0"/>
        <w:autoSpaceDN w:val="0"/>
        <w:ind w:firstLine="480"/>
        <w:rPr>
          <w:rFonts w:hint="eastAsia" w:ascii="宋体" w:hAnsi="宋体" w:eastAsia="宋体" w:cs="宋体"/>
          <w:color w:val="auto"/>
          <w:szCs w:val="24"/>
          <w:lang w:val="zh-CN" w:eastAsia="zh-CN"/>
        </w:rPr>
      </w:pPr>
      <w:r>
        <w:rPr>
          <w:rFonts w:hint="eastAsia" w:ascii="宋体" w:hAnsi="宋体" w:eastAsia="宋体" w:cs="宋体"/>
          <w:color w:val="auto"/>
          <w:lang w:eastAsia="zh-CN"/>
        </w:rPr>
        <w:t>（</w:t>
      </w:r>
      <w:r>
        <w:rPr>
          <w:rFonts w:hint="eastAsia" w:ascii="宋体" w:hAnsi="宋体" w:eastAsia="宋体" w:cs="宋体"/>
          <w:color w:val="auto"/>
          <w:lang w:val="en-US" w:eastAsia="zh-CN"/>
        </w:rPr>
        <w:t>2</w:t>
      </w:r>
      <w:r>
        <w:rPr>
          <w:rFonts w:hint="eastAsia" w:ascii="宋体" w:hAnsi="宋体" w:eastAsia="宋体" w:cs="宋体"/>
          <w:color w:val="auto"/>
          <w:lang w:eastAsia="zh-CN"/>
        </w:rPr>
        <w:t>）</w:t>
      </w:r>
      <w:r>
        <w:rPr>
          <w:rFonts w:hint="eastAsia" w:ascii="宋体" w:hAnsi="宋体" w:eastAsia="宋体" w:cs="宋体"/>
          <w:color w:val="auto"/>
        </w:rPr>
        <w:t>20</w:t>
      </w:r>
      <w:r>
        <w:rPr>
          <w:rFonts w:hint="eastAsia" w:ascii="宋体" w:hAnsi="宋体" w:eastAsia="宋体" w:cs="宋体"/>
          <w:color w:val="auto"/>
          <w:lang w:val="en-US" w:eastAsia="zh-CN"/>
        </w:rPr>
        <w:t>23</w:t>
      </w:r>
      <w:r>
        <w:rPr>
          <w:rFonts w:hint="eastAsia" w:ascii="宋体" w:hAnsi="宋体" w:eastAsia="宋体" w:cs="宋体"/>
          <w:color w:val="auto"/>
        </w:rPr>
        <w:t>年</w:t>
      </w:r>
      <w:r>
        <w:rPr>
          <w:rFonts w:hint="eastAsia" w:ascii="宋体" w:hAnsi="宋体" w:eastAsia="宋体" w:cs="宋体"/>
          <w:color w:val="auto"/>
          <w:lang w:val="en-US" w:eastAsia="zh-CN"/>
        </w:rPr>
        <w:t>3</w:t>
      </w:r>
      <w:r>
        <w:rPr>
          <w:rFonts w:hint="eastAsia" w:ascii="宋体" w:hAnsi="宋体" w:eastAsia="宋体" w:cs="宋体"/>
          <w:color w:val="auto"/>
        </w:rPr>
        <w:t>月，元宝山区五家镇嘉润碳质泥岩有限责任公司</w:t>
      </w:r>
      <w:r>
        <w:rPr>
          <w:rFonts w:hint="eastAsia" w:ascii="宋体" w:hAnsi="宋体" w:eastAsia="宋体" w:cs="宋体"/>
          <w:color w:val="auto"/>
          <w:szCs w:val="24"/>
          <w:lang w:eastAsia="zh-CN"/>
        </w:rPr>
        <w:t>提交</w:t>
      </w:r>
      <w:r>
        <w:rPr>
          <w:rFonts w:hint="eastAsia" w:ascii="宋体" w:hAnsi="宋体" w:eastAsia="宋体" w:cs="宋体"/>
          <w:color w:val="auto"/>
        </w:rPr>
        <w:t>的《内蒙古自治区平庄煤田原五家煤矿一井东部炭质泥岩矿202</w:t>
      </w:r>
      <w:r>
        <w:rPr>
          <w:rFonts w:hint="eastAsia" w:ascii="宋体" w:hAnsi="宋体" w:eastAsia="宋体" w:cs="宋体"/>
          <w:color w:val="auto"/>
          <w:lang w:val="en-US" w:eastAsia="zh-CN"/>
        </w:rPr>
        <w:t>3</w:t>
      </w:r>
      <w:r>
        <w:rPr>
          <w:rFonts w:hint="eastAsia" w:ascii="宋体" w:hAnsi="宋体" w:eastAsia="宋体" w:cs="宋体"/>
          <w:color w:val="auto"/>
        </w:rPr>
        <w:t>年度矿山地质环境治理计划书》</w:t>
      </w:r>
      <w:r>
        <w:rPr>
          <w:rFonts w:hint="eastAsia" w:ascii="宋体" w:hAnsi="宋体" w:eastAsia="宋体" w:cs="宋体"/>
          <w:color w:val="auto"/>
          <w:lang w:eastAsia="zh-CN"/>
        </w:rPr>
        <w:t>。</w:t>
      </w:r>
    </w:p>
    <w:p>
      <w:pPr>
        <w:autoSpaceDE w:val="0"/>
        <w:autoSpaceDN w:val="0"/>
        <w:ind w:firstLine="480"/>
        <w:rPr>
          <w:rFonts w:hint="eastAsia" w:ascii="宋体" w:hAnsi="宋体" w:eastAsia="宋体" w:cs="宋体"/>
          <w:color w:val="auto"/>
          <w:lang w:val="en-US" w:eastAsia="zh-CN"/>
        </w:rPr>
      </w:pPr>
      <w:r>
        <w:rPr>
          <w:rFonts w:hint="eastAsia" w:ascii="宋体" w:hAnsi="宋体" w:eastAsia="宋体" w:cs="宋体"/>
          <w:color w:val="auto"/>
          <w:lang w:val="en-US" w:eastAsia="zh-CN"/>
        </w:rPr>
        <w:t>设计治理工程措施：①对渣堆1进行清运、覆土、恢复植被；②利用清运渣堆1产生的废石，对探坑进行回填、覆土、恢复植被；③对部分不在利用的矿区道路进行覆土、恢复植被</w:t>
      </w:r>
      <w:r>
        <w:rPr>
          <w:rFonts w:hint="eastAsia" w:ascii="宋体" w:hAnsi="宋体" w:eastAsia="宋体" w:cs="宋体"/>
          <w:color w:val="auto"/>
          <w:szCs w:val="24"/>
          <w:lang w:val="zh-CN"/>
        </w:rPr>
        <w:t>。</w:t>
      </w:r>
    </w:p>
    <w:p>
      <w:pPr>
        <w:autoSpaceDE w:val="0"/>
        <w:autoSpaceDN w:val="0"/>
        <w:ind w:firstLine="480"/>
        <w:rPr>
          <w:rFonts w:hint="eastAsia" w:ascii="宋体" w:hAnsi="宋体" w:eastAsia="宋体" w:cs="宋体"/>
          <w:color w:val="auto"/>
        </w:rPr>
      </w:pPr>
      <w:r>
        <w:rPr>
          <w:rFonts w:hint="eastAsia" w:ascii="宋体" w:hAnsi="宋体" w:eastAsia="宋体" w:cs="宋体"/>
          <w:color w:val="auto"/>
          <w:lang w:val="en-US" w:eastAsia="zh-CN"/>
        </w:rPr>
        <w:t>执行情况：矿山以完成2023年度设计治理工程，</w:t>
      </w:r>
      <w:r>
        <w:rPr>
          <w:rFonts w:hint="eastAsia" w:ascii="宋体" w:hAnsi="宋体" w:eastAsia="宋体" w:cs="宋体"/>
          <w:color w:val="auto"/>
          <w:sz w:val="24"/>
          <w:szCs w:val="24"/>
          <w:lang w:val="en-US" w:eastAsia="zh-CN"/>
        </w:rPr>
        <w:t>并通过现场核查、验收。</w:t>
      </w:r>
    </w:p>
    <w:p>
      <w:pPr>
        <w:autoSpaceDE w:val="0"/>
        <w:autoSpaceDN w:val="0"/>
        <w:ind w:left="0" w:leftChars="0" w:firstLine="0" w:firstLineChars="0"/>
        <w:jc w:val="center"/>
        <w:rPr>
          <w:rFonts w:hint="eastAsia" w:ascii="宋体" w:hAnsi="宋体" w:eastAsia="宋体" w:cs="宋体"/>
          <w:color w:val="auto"/>
        </w:rPr>
      </w:pPr>
      <w:r>
        <w:rPr>
          <w:rFonts w:hint="eastAsia" w:ascii="宋体" w:hAnsi="宋体" w:eastAsia="宋体" w:cs="宋体"/>
          <w:color w:val="auto"/>
          <w:szCs w:val="24"/>
          <w:lang w:val="zh-CN"/>
        </w:rPr>
        <w:drawing>
          <wp:inline distT="0" distB="0" distL="114300" distR="114300">
            <wp:extent cx="2899410" cy="2174875"/>
            <wp:effectExtent l="0" t="0" r="5715" b="6350"/>
            <wp:docPr id="5" name="图片 5" descr="fb3b9c56bb91d327426eeefcc0ff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b3b9c56bb91d327426eeefcc0ff179"/>
                    <pic:cNvPicPr>
                      <a:picLocks noChangeAspect="1"/>
                    </pic:cNvPicPr>
                  </pic:nvPicPr>
                  <pic:blipFill>
                    <a:blip r:embed="rId15"/>
                    <a:stretch>
                      <a:fillRect/>
                    </a:stretch>
                  </pic:blipFill>
                  <pic:spPr>
                    <a:xfrm>
                      <a:off x="0" y="0"/>
                      <a:ext cx="2899410" cy="2174875"/>
                    </a:xfrm>
                    <a:prstGeom prst="rect">
                      <a:avLst/>
                    </a:prstGeom>
                  </pic:spPr>
                </pic:pic>
              </a:graphicData>
            </a:graphic>
          </wp:inline>
        </w:drawing>
      </w:r>
    </w:p>
    <w:p>
      <w:pPr>
        <w:autoSpaceDE w:val="0"/>
        <w:autoSpaceDN w:val="0"/>
        <w:ind w:left="0" w:leftChars="0" w:firstLine="0" w:firstLineChars="0"/>
        <w:jc w:val="center"/>
        <w:rPr>
          <w:rFonts w:hint="eastAsia" w:ascii="宋体" w:hAnsi="宋体" w:eastAsia="宋体" w:cs="宋体"/>
          <w:color w:val="auto"/>
        </w:rPr>
      </w:pPr>
      <w:r>
        <w:rPr>
          <w:rFonts w:hint="eastAsia" w:ascii="宋体" w:hAnsi="宋体" w:eastAsia="宋体" w:cs="宋体"/>
          <w:b w:val="0"/>
          <w:bCs w:val="0"/>
          <w:color w:val="auto"/>
          <w:lang w:val="en-US" w:eastAsia="zh-CN"/>
        </w:rPr>
        <w:t>照片2-2  2023年度治理效果</w:t>
      </w:r>
    </w:p>
    <w:p>
      <w:pPr>
        <w:autoSpaceDE w:val="0"/>
        <w:autoSpaceDN w:val="0"/>
        <w:ind w:left="0" w:leftChars="0" w:firstLine="480" w:firstLineChars="200"/>
        <w:rPr>
          <w:rFonts w:hint="eastAsia" w:ascii="宋体" w:hAnsi="宋体" w:eastAsia="宋体" w:cs="宋体"/>
          <w:color w:val="auto"/>
          <w:szCs w:val="24"/>
          <w:lang w:val="zh-CN"/>
        </w:rPr>
      </w:pPr>
      <w:r>
        <w:rPr>
          <w:rFonts w:hint="eastAsia" w:ascii="宋体" w:hAnsi="宋体" w:eastAsia="宋体" w:cs="宋体"/>
          <w:color w:val="auto"/>
          <w:szCs w:val="24"/>
          <w:lang w:val="zh-CN"/>
        </w:rPr>
        <w:t>矿山完成了设计的治理工程主体内容，效果较好，但</w:t>
      </w:r>
      <w:r>
        <w:rPr>
          <w:rFonts w:hint="eastAsia" w:ascii="宋体" w:hAnsi="宋体" w:eastAsia="宋体" w:cs="宋体"/>
          <w:color w:val="auto"/>
          <w:szCs w:val="24"/>
          <w:lang w:val="en-US" w:eastAsia="zh-CN"/>
        </w:rPr>
        <w:t>2023年度设计的治理工程因季节原因未进行恢复植被，本年度将继续完善植被工程</w:t>
      </w:r>
      <w:r>
        <w:rPr>
          <w:rFonts w:hint="eastAsia" w:ascii="宋体" w:hAnsi="宋体" w:eastAsia="宋体" w:cs="宋体"/>
          <w:color w:val="auto"/>
          <w:szCs w:val="24"/>
          <w:lang w:val="zh-CN"/>
        </w:rPr>
        <w:t>。</w:t>
      </w:r>
      <w:r>
        <w:rPr>
          <w:rFonts w:hint="eastAsia" w:ascii="宋体" w:hAnsi="宋体" w:eastAsia="宋体" w:cs="宋体"/>
          <w:color w:val="auto"/>
          <w:szCs w:val="24"/>
          <w:lang w:val="zh-CN"/>
        </w:rPr>
        <w:br w:type="page"/>
      </w:r>
    </w:p>
    <w:p>
      <w:pPr>
        <w:pStyle w:val="4"/>
        <w:pageBreakBefore w:val="0"/>
        <w:adjustRightInd/>
        <w:snapToGrid/>
        <w:rPr>
          <w:rFonts w:hint="eastAsia" w:ascii="宋体" w:hAnsi="宋体" w:eastAsia="宋体" w:cs="宋体"/>
          <w:color w:val="auto"/>
          <w:sz w:val="36"/>
          <w:szCs w:val="36"/>
        </w:rPr>
      </w:pPr>
      <w:bookmarkStart w:id="17" w:name="_Toc23731"/>
      <w:r>
        <w:rPr>
          <w:rFonts w:hint="eastAsia" w:ascii="宋体" w:hAnsi="宋体" w:eastAsia="宋体" w:cs="宋体"/>
          <w:color w:val="auto"/>
          <w:sz w:val="32"/>
          <w:szCs w:val="32"/>
        </w:rPr>
        <w:t>三、本年度矿山生产计划</w:t>
      </w:r>
      <w:bookmarkEnd w:id="17"/>
    </w:p>
    <w:p>
      <w:pPr>
        <w:keepNext w:val="0"/>
        <w:keepLines w:val="0"/>
        <w:pageBreakBefore w:val="0"/>
        <w:kinsoku/>
        <w:wordWrap/>
        <w:overflowPunct/>
        <w:topLinePunct w:val="0"/>
        <w:autoSpaceDE w:val="0"/>
        <w:autoSpaceDN w:val="0"/>
        <w:bidi w:val="0"/>
        <w:adjustRightInd w:val="0"/>
        <w:spacing w:line="360" w:lineRule="auto"/>
        <w:ind w:left="0" w:leftChars="0" w:firstLine="0" w:firstLineChars="0"/>
        <w:jc w:val="left"/>
        <w:textAlignment w:val="auto"/>
        <w:outlineLvl w:val="1"/>
        <w:rPr>
          <w:rFonts w:hint="eastAsia" w:ascii="宋体" w:hAnsi="宋体" w:eastAsia="宋体" w:cs="宋体"/>
          <w:color w:val="auto"/>
          <w:sz w:val="24"/>
          <w:szCs w:val="24"/>
          <w:lang w:val="en-US" w:eastAsia="zh-CN"/>
        </w:rPr>
      </w:pPr>
      <w:bookmarkStart w:id="18" w:name="_Toc25116"/>
      <w:bookmarkStart w:id="19" w:name="_Toc129609199"/>
      <w:r>
        <w:rPr>
          <w:rFonts w:hint="eastAsia" w:ascii="宋体" w:hAnsi="宋体" w:eastAsia="宋体" w:cs="宋体"/>
          <w:b/>
          <w:bCs/>
          <w:color w:val="auto"/>
          <w:sz w:val="28"/>
          <w:szCs w:val="28"/>
        </w:rPr>
        <w:t>（一）本年度的主要生产指标计划</w:t>
      </w:r>
      <w:bookmarkEnd w:id="18"/>
      <w:bookmarkEnd w:id="19"/>
    </w:p>
    <w:p>
      <w:pPr>
        <w:keepNext w:val="0"/>
        <w:keepLines w:val="0"/>
        <w:pageBreakBefore w:val="0"/>
        <w:kinsoku/>
        <w:wordWrap/>
        <w:overflowPunct/>
        <w:topLinePunct w:val="0"/>
        <w:autoSpaceDE w:val="0"/>
        <w:autoSpaceDN w:val="0"/>
        <w:bidi w:val="0"/>
        <w:adjustRightInd w:val="0"/>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内蒙古自治区平庄煤田原五家煤矿一井东部炭质泥岩矿</w:t>
      </w:r>
      <w:r>
        <w:rPr>
          <w:rFonts w:hint="eastAsia" w:ascii="宋体" w:hAnsi="宋体" w:eastAsia="宋体" w:cs="宋体"/>
          <w:color w:val="auto"/>
          <w:sz w:val="24"/>
          <w:szCs w:val="24"/>
        </w:rPr>
        <w:t>自</w:t>
      </w:r>
      <w:r>
        <w:rPr>
          <w:rFonts w:hint="eastAsia" w:ascii="宋体" w:hAnsi="宋体" w:eastAsia="宋体" w:cs="宋体"/>
          <w:color w:val="auto"/>
          <w:sz w:val="24"/>
          <w:szCs w:val="24"/>
          <w:lang w:val="en-US" w:eastAsia="zh-CN"/>
        </w:rPr>
        <w:t>建矿</w:t>
      </w:r>
      <w:r>
        <w:rPr>
          <w:rFonts w:hint="eastAsia" w:ascii="宋体" w:hAnsi="宋体" w:eastAsia="宋体" w:cs="宋体"/>
          <w:color w:val="auto"/>
          <w:sz w:val="24"/>
          <w:szCs w:val="24"/>
        </w:rPr>
        <w:t>至今</w:t>
      </w:r>
      <w:r>
        <w:rPr>
          <w:rFonts w:hint="eastAsia" w:ascii="宋体" w:hAnsi="宋体" w:eastAsia="宋体" w:cs="宋体"/>
          <w:color w:val="auto"/>
          <w:sz w:val="24"/>
          <w:szCs w:val="24"/>
          <w:lang w:val="en-US" w:eastAsia="zh-CN"/>
        </w:rPr>
        <w:t>一直处于停产、停建状态，2024年度无生产与矿山基础设施建设计划。</w:t>
      </w:r>
    </w:p>
    <w:p>
      <w:pPr>
        <w:keepNext w:val="0"/>
        <w:keepLines w:val="0"/>
        <w:pageBreakBefore w:val="0"/>
        <w:widowControl/>
        <w:numPr>
          <w:ilvl w:val="0"/>
          <w:numId w:val="0"/>
        </w:numPr>
        <w:kinsoku/>
        <w:wordWrap/>
        <w:overflowPunct/>
        <w:topLinePunct w:val="0"/>
        <w:bidi w:val="0"/>
        <w:adjustRightInd w:val="0"/>
        <w:snapToGrid w:val="0"/>
        <w:spacing w:line="360" w:lineRule="auto"/>
        <w:jc w:val="left"/>
        <w:textAlignment w:val="auto"/>
        <w:outlineLvl w:val="1"/>
        <w:rPr>
          <w:rFonts w:hint="eastAsia" w:ascii="宋体" w:hAnsi="宋体" w:eastAsia="宋体" w:cs="宋体"/>
          <w:b/>
          <w:bCs/>
          <w:color w:val="auto"/>
          <w:sz w:val="24"/>
          <w:szCs w:val="24"/>
          <w:lang w:val="en-US" w:eastAsia="zh-CN"/>
        </w:rPr>
      </w:pPr>
      <w:bookmarkStart w:id="20" w:name="_Toc1782"/>
      <w:bookmarkStart w:id="21" w:name="_Toc24748"/>
      <w:bookmarkStart w:id="22" w:name="_Toc18505"/>
      <w:bookmarkStart w:id="23" w:name="_Toc18165"/>
      <w:bookmarkStart w:id="24" w:name="_Toc7751"/>
      <w:bookmarkStart w:id="25" w:name="_Toc5413"/>
      <w:bookmarkStart w:id="26" w:name="_Toc363"/>
      <w:r>
        <w:rPr>
          <w:rFonts w:hint="eastAsia" w:ascii="宋体" w:hAnsi="宋体" w:eastAsia="宋体" w:cs="宋体"/>
          <w:b/>
          <w:bCs/>
          <w:color w:val="auto"/>
          <w:kern w:val="2"/>
          <w:sz w:val="28"/>
          <w:szCs w:val="28"/>
          <w:lang w:val="en-US" w:eastAsia="zh-CN" w:bidi="ar-SA"/>
        </w:rPr>
        <w:t>（二）开采范围</w:t>
      </w:r>
      <w:bookmarkEnd w:id="20"/>
      <w:bookmarkEnd w:id="21"/>
      <w:bookmarkEnd w:id="22"/>
      <w:bookmarkEnd w:id="23"/>
      <w:bookmarkEnd w:id="24"/>
      <w:bookmarkEnd w:id="25"/>
      <w:bookmarkEnd w:id="26"/>
    </w:p>
    <w:p>
      <w:pPr>
        <w:autoSpaceDE w:val="0"/>
        <w:autoSpaceDN w:val="0"/>
        <w:ind w:firstLine="480"/>
        <w:rPr>
          <w:rFonts w:hint="eastAsia" w:ascii="宋体" w:hAnsi="宋体" w:eastAsia="宋体" w:cs="宋体"/>
          <w:color w:val="auto"/>
        </w:rPr>
      </w:pPr>
      <w:r>
        <w:rPr>
          <w:rFonts w:hint="eastAsia" w:ascii="宋体" w:hAnsi="宋体" w:eastAsia="宋体" w:cs="宋体"/>
          <w:color w:val="auto"/>
          <w:sz w:val="24"/>
          <w:szCs w:val="24"/>
          <w:lang w:val="en-US" w:eastAsia="zh-CN"/>
        </w:rPr>
        <w:t>鉴于内蒙古自治区平庄煤田原五家煤矿一井东部炭质泥岩矿2024年度无生产与矿山基础设施建设计划，相关内容略。</w:t>
      </w:r>
    </w:p>
    <w:p>
      <w:pPr>
        <w:rPr>
          <w:rFonts w:hint="eastAsia" w:ascii="宋体" w:hAnsi="宋体" w:eastAsia="宋体" w:cs="宋体"/>
          <w:color w:val="auto"/>
          <w:sz w:val="30"/>
          <w:szCs w:val="30"/>
        </w:rPr>
      </w:pPr>
      <w:bookmarkStart w:id="27" w:name="（二）开采范围"/>
      <w:bookmarkEnd w:id="27"/>
      <w:bookmarkStart w:id="28" w:name="_bookmark16"/>
      <w:bookmarkEnd w:id="28"/>
      <w:r>
        <w:rPr>
          <w:rFonts w:hint="eastAsia" w:ascii="宋体" w:hAnsi="宋体" w:eastAsia="宋体" w:cs="宋体"/>
          <w:color w:val="auto"/>
          <w:sz w:val="30"/>
          <w:szCs w:val="30"/>
        </w:rPr>
        <w:br w:type="page"/>
      </w:r>
    </w:p>
    <w:p>
      <w:pPr>
        <w:pStyle w:val="4"/>
        <w:pageBreakBefore w:val="0"/>
        <w:adjustRightInd/>
        <w:snapToGrid/>
        <w:rPr>
          <w:rFonts w:hint="eastAsia" w:ascii="宋体" w:hAnsi="宋体" w:eastAsia="宋体" w:cs="宋体"/>
          <w:color w:val="auto"/>
          <w:sz w:val="36"/>
          <w:szCs w:val="36"/>
        </w:rPr>
      </w:pPr>
      <w:bookmarkStart w:id="29" w:name="_Toc2011"/>
      <w:r>
        <w:rPr>
          <w:rFonts w:hint="eastAsia" w:ascii="宋体" w:hAnsi="宋体" w:eastAsia="宋体" w:cs="宋体"/>
          <w:color w:val="auto"/>
          <w:sz w:val="32"/>
          <w:szCs w:val="32"/>
        </w:rPr>
        <w:t>四、矿山地质环境问题</w:t>
      </w:r>
      <w:bookmarkEnd w:id="29"/>
    </w:p>
    <w:p>
      <w:pPr>
        <w:pStyle w:val="5"/>
        <w:adjustRightInd/>
        <w:snapToGrid/>
        <w:spacing w:before="0"/>
        <w:jc w:val="both"/>
        <w:rPr>
          <w:rFonts w:hint="eastAsia" w:ascii="宋体" w:hAnsi="宋体" w:eastAsia="宋体" w:cs="宋体"/>
          <w:color w:val="auto"/>
          <w:sz w:val="30"/>
          <w:szCs w:val="30"/>
        </w:rPr>
      </w:pPr>
      <w:bookmarkStart w:id="30" w:name="_Toc19136"/>
      <w:r>
        <w:rPr>
          <w:rFonts w:hint="eastAsia" w:ascii="宋体" w:hAnsi="宋体" w:eastAsia="宋体" w:cs="宋体"/>
          <w:color w:val="auto"/>
          <w:sz w:val="28"/>
          <w:szCs w:val="28"/>
        </w:rPr>
        <w:t>（一）矿山地质环境问题现状</w:t>
      </w:r>
      <w:bookmarkEnd w:id="30"/>
    </w:p>
    <w:p>
      <w:pPr>
        <w:keepNext w:val="0"/>
        <w:keepLines w:val="0"/>
        <w:pageBreakBefore w:val="0"/>
        <w:widowControl w:val="0"/>
        <w:tabs>
          <w:tab w:val="left" w:pos="720"/>
        </w:tabs>
        <w:kinsoku/>
        <w:wordWrap/>
        <w:overflowPunct/>
        <w:topLinePunct w:val="0"/>
        <w:autoSpaceDE w:val="0"/>
        <w:autoSpaceDN w:val="0"/>
        <w:bidi w:val="0"/>
        <w:adjustRightInd w:val="0"/>
        <w:snapToGrid w:val="0"/>
        <w:spacing w:after="0" w:line="360" w:lineRule="auto"/>
        <w:ind w:firstLine="480" w:firstLineChars="200"/>
        <w:jc w:val="left"/>
        <w:textAlignment w:val="auto"/>
        <w:rPr>
          <w:rFonts w:hint="eastAsia" w:ascii="宋体" w:hAnsi="宋体" w:eastAsia="宋体" w:cs="宋体"/>
          <w:b/>
          <w:color w:val="auto"/>
          <w:sz w:val="24"/>
          <w:lang w:val="en-US" w:eastAsia="zh-CN"/>
        </w:rPr>
      </w:pPr>
      <w:r>
        <w:rPr>
          <w:rFonts w:hint="eastAsia" w:ascii="宋体" w:hAnsi="宋体" w:eastAsia="宋体" w:cs="宋体"/>
          <w:color w:val="auto"/>
          <w:sz w:val="24"/>
        </w:rPr>
        <w:t>内蒙古自治区平庄煤田原五家煤矿一井东部炭质泥岩矿属生产矿山</w:t>
      </w:r>
      <w:r>
        <w:rPr>
          <w:rFonts w:hint="eastAsia" w:ascii="宋体" w:hAnsi="宋体" w:eastAsia="宋体" w:cs="宋体"/>
          <w:color w:val="auto"/>
          <w:sz w:val="24"/>
          <w:lang w:eastAsia="zh-CN"/>
        </w:rPr>
        <w:t>（</w:t>
      </w:r>
      <w:r>
        <w:rPr>
          <w:rFonts w:hint="eastAsia" w:ascii="宋体" w:hAnsi="宋体" w:eastAsia="宋体" w:cs="宋体"/>
          <w:color w:val="auto"/>
          <w:sz w:val="24"/>
          <w:lang w:val="en-US" w:eastAsia="zh-CN"/>
        </w:rPr>
        <w:t>现状停产</w:t>
      </w:r>
      <w:r>
        <w:rPr>
          <w:rFonts w:hint="eastAsia" w:ascii="宋体" w:hAnsi="宋体" w:eastAsia="宋体" w:cs="宋体"/>
          <w:color w:val="auto"/>
          <w:sz w:val="24"/>
          <w:lang w:eastAsia="zh-CN"/>
        </w:rPr>
        <w:t>）</w:t>
      </w:r>
      <w:r>
        <w:rPr>
          <w:rFonts w:hint="eastAsia" w:ascii="宋体" w:hAnsi="宋体" w:eastAsia="宋体" w:cs="宋体"/>
          <w:color w:val="auto"/>
          <w:sz w:val="24"/>
        </w:rPr>
        <w:t>，经本次实地调查，矿区范围内形成的工程单元有</w:t>
      </w:r>
      <w:r>
        <w:rPr>
          <w:rFonts w:hint="eastAsia" w:ascii="宋体" w:hAnsi="宋体" w:eastAsia="宋体" w:cs="宋体"/>
          <w:color w:val="auto"/>
          <w:sz w:val="24"/>
          <w:lang w:val="en-US" w:eastAsia="zh-CN"/>
        </w:rPr>
        <w:t>原</w:t>
      </w:r>
      <w:r>
        <w:rPr>
          <w:rFonts w:hint="eastAsia" w:ascii="宋体" w:hAnsi="宋体" w:eastAsia="宋体" w:cs="宋体"/>
          <w:color w:val="auto"/>
          <w:sz w:val="24"/>
        </w:rPr>
        <w:t>露天采场、</w:t>
      </w:r>
      <w:r>
        <w:rPr>
          <w:rFonts w:hint="eastAsia" w:ascii="宋体" w:hAnsi="宋体" w:eastAsia="宋体" w:cs="宋体"/>
          <w:color w:val="auto"/>
          <w:sz w:val="24"/>
          <w:lang w:val="en-US" w:eastAsia="zh-CN"/>
        </w:rPr>
        <w:t>原废石场、滑坡体、探坑、渣堆1、渣堆2、渣堆3、矿区道路</w:t>
      </w:r>
      <w:r>
        <w:rPr>
          <w:rFonts w:hint="eastAsia" w:ascii="宋体" w:hAnsi="宋体" w:eastAsia="宋体" w:cs="宋体"/>
          <w:color w:val="auto"/>
          <w:sz w:val="24"/>
          <w:lang w:eastAsia="zh-CN"/>
        </w:rPr>
        <w:t>。</w:t>
      </w:r>
      <w:r>
        <w:rPr>
          <w:rFonts w:hint="eastAsia" w:ascii="宋体" w:hAnsi="宋体" w:eastAsia="宋体" w:cs="宋体"/>
          <w:color w:val="auto"/>
          <w:sz w:val="24"/>
          <w:lang w:val="en-US" w:eastAsia="zh-CN"/>
        </w:rPr>
        <w:t>需要说明的是滑坡体、探坑、渣堆1已经完成治理。</w:t>
      </w:r>
      <w:r>
        <w:rPr>
          <w:rFonts w:hint="eastAsia" w:ascii="宋体" w:hAnsi="宋体" w:eastAsia="宋体" w:cs="宋体"/>
          <w:color w:val="auto"/>
          <w:sz w:val="24"/>
        </w:rPr>
        <w:t>依据《矿山地质环境保护与恢复治理方案编制规范》（DZ/T0223-2011）编制技术要求附录E矿山地质环境影响程度分级表，以下从地质灾害影响、含水层影响和破坏、地形地貌景观影响和破坏、土地损毁等四个方面对矿山地质环境影响进行现状评估：</w:t>
      </w:r>
    </w:p>
    <w:p>
      <w:pPr>
        <w:tabs>
          <w:tab w:val="left" w:pos="720"/>
        </w:tabs>
        <w:autoSpaceDE w:val="0"/>
        <w:autoSpaceDN w:val="0"/>
        <w:adjustRightInd w:val="0"/>
        <w:spacing w:after="0" w:line="360" w:lineRule="auto"/>
        <w:ind w:firstLine="482" w:firstLineChars="200"/>
        <w:jc w:val="both"/>
        <w:rPr>
          <w:rFonts w:hint="eastAsia" w:ascii="宋体" w:hAnsi="宋体" w:eastAsia="宋体" w:cs="宋体"/>
          <w:b/>
          <w:color w:val="auto"/>
          <w:sz w:val="24"/>
        </w:rPr>
      </w:pPr>
      <w:r>
        <w:rPr>
          <w:rFonts w:hint="eastAsia" w:ascii="宋体" w:hAnsi="宋体" w:eastAsia="宋体" w:cs="宋体"/>
          <w:b/>
          <w:color w:val="auto"/>
          <w:sz w:val="24"/>
          <w:lang w:val="en-US" w:eastAsia="zh-CN"/>
        </w:rPr>
        <w:t>1</w:t>
      </w:r>
      <w:r>
        <w:rPr>
          <w:rFonts w:hint="eastAsia" w:ascii="宋体" w:hAnsi="宋体" w:eastAsia="宋体" w:cs="宋体"/>
          <w:b/>
          <w:color w:val="auto"/>
          <w:sz w:val="24"/>
        </w:rPr>
        <w:t>、地质灾害影响现状评估</w:t>
      </w:r>
    </w:p>
    <w:p>
      <w:pPr>
        <w:tabs>
          <w:tab w:val="left" w:pos="1300"/>
        </w:tabs>
        <w:spacing w:after="0" w:line="360" w:lineRule="auto"/>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）泥石流灾害</w:t>
      </w:r>
    </w:p>
    <w:p>
      <w:pPr>
        <w:spacing w:after="0" w:line="360" w:lineRule="auto"/>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根据现状调查，矿区地处低山区，地形起伏较小，沟谷不发育，仅矿区外周边发育冲沟，</w:t>
      </w:r>
      <w:r>
        <w:rPr>
          <w:rFonts w:hint="eastAsia" w:ascii="宋体" w:hAnsi="宋体" w:eastAsia="宋体" w:cs="宋体"/>
          <w:color w:val="auto"/>
          <w:sz w:val="24"/>
        </w:rPr>
        <w:t>植被较发育。评估区水系不发育，无常年地表水体，区内降雨量小，暴雨历时短，构不成泥石流发生的水动力条件，仅在雨季，局部低洼地段暂时性存水，</w:t>
      </w:r>
      <w:r>
        <w:rPr>
          <w:rFonts w:hint="eastAsia" w:ascii="宋体" w:hAnsi="宋体" w:eastAsia="宋体" w:cs="宋体"/>
          <w:color w:val="auto"/>
          <w:sz w:val="24"/>
          <w:szCs w:val="24"/>
        </w:rPr>
        <w:t>且前期排放原废石场地平缓，构不成泥石流发生的物源条件。现状条件下泥石流灾害不发育。</w:t>
      </w:r>
    </w:p>
    <w:p>
      <w:pPr>
        <w:tabs>
          <w:tab w:val="left" w:pos="1300"/>
        </w:tabs>
        <w:spacing w:after="0" w:line="360" w:lineRule="auto"/>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）崩塌</w:t>
      </w:r>
    </w:p>
    <w:p>
      <w:pPr>
        <w:tabs>
          <w:tab w:val="left" w:pos="1300"/>
        </w:tabs>
        <w:spacing w:after="0" w:line="360" w:lineRule="auto"/>
        <w:ind w:firstLine="480" w:firstLineChars="200"/>
        <w:jc w:val="both"/>
        <w:rPr>
          <w:rFonts w:hint="eastAsia" w:ascii="宋体" w:hAnsi="宋体" w:eastAsia="宋体" w:cs="宋体"/>
          <w:color w:val="auto"/>
          <w:sz w:val="24"/>
        </w:rPr>
      </w:pPr>
      <w:r>
        <w:rPr>
          <w:rFonts w:hint="eastAsia" w:ascii="宋体" w:hAnsi="宋体" w:eastAsia="宋体" w:cs="宋体"/>
          <w:color w:val="auto"/>
          <w:sz w:val="24"/>
        </w:rPr>
        <w:t>根据现状调查，矿区地处低山区，山顶多成浑圆状，无高切割危陡边坡，整体地形坡度在5°-25°，植被较发育，原废石场堆地平缓，废石堆体边坡近50°，堆体稳定。现状条件下崩塌灾害不发育。</w:t>
      </w:r>
    </w:p>
    <w:p>
      <w:pPr>
        <w:tabs>
          <w:tab w:val="left" w:pos="1300"/>
        </w:tabs>
        <w:spacing w:after="0" w:line="360" w:lineRule="auto"/>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）滑坡</w:t>
      </w:r>
    </w:p>
    <w:p>
      <w:pPr>
        <w:tabs>
          <w:tab w:val="left" w:pos="1300"/>
        </w:tabs>
        <w:spacing w:after="0" w:line="360" w:lineRule="auto"/>
        <w:ind w:firstLine="480" w:firstLineChars="200"/>
        <w:jc w:val="both"/>
        <w:rPr>
          <w:rFonts w:hint="eastAsia" w:ascii="宋体" w:hAnsi="宋体" w:eastAsia="宋体" w:cs="宋体"/>
          <w:color w:val="auto"/>
          <w:sz w:val="24"/>
        </w:rPr>
      </w:pPr>
      <w:r>
        <w:rPr>
          <w:rFonts w:hint="eastAsia" w:ascii="宋体" w:hAnsi="宋体" w:eastAsia="宋体" w:cs="宋体"/>
          <w:color w:val="auto"/>
          <w:sz w:val="24"/>
        </w:rPr>
        <w:t>露天采场开采</w:t>
      </w:r>
      <w:r>
        <w:rPr>
          <w:rFonts w:hint="eastAsia" w:ascii="宋体" w:hAnsi="宋体" w:eastAsia="宋体" w:cs="宋体"/>
          <w:color w:val="auto"/>
          <w:sz w:val="24"/>
          <w:lang w:eastAsia="zh-CN"/>
        </w:rPr>
        <w:t>为</w:t>
      </w:r>
      <w:r>
        <w:rPr>
          <w:rFonts w:hint="eastAsia" w:ascii="宋体" w:hAnsi="宋体" w:eastAsia="宋体" w:cs="宋体"/>
          <w:color w:val="auto"/>
          <w:sz w:val="24"/>
        </w:rPr>
        <w:t>台阶式开采，台阶坡度约60°。</w:t>
      </w:r>
      <w:r>
        <w:rPr>
          <w:rFonts w:hint="eastAsia" w:ascii="宋体" w:hAnsi="宋体" w:eastAsia="宋体" w:cs="宋体"/>
          <w:color w:val="auto"/>
          <w:sz w:val="24"/>
          <w:lang w:eastAsia="zh-CN"/>
        </w:rPr>
        <w:t>矿区南西</w:t>
      </w:r>
      <w:r>
        <w:rPr>
          <w:rFonts w:hint="eastAsia" w:ascii="宋体" w:hAnsi="宋体" w:eastAsia="宋体" w:cs="宋体"/>
          <w:color w:val="auto"/>
          <w:sz w:val="24"/>
        </w:rPr>
        <w:t>部形成一处滑坡体，2011年滑坡体后缘有明显位移迹象，滑坡体向前滑移约7m，向下滑移约4m，滑坡力源产生于滑坡前部，前部卸荷破坏逐级向后延伸，直至整体破坏，属牵引式滑坡变形，当时矿山未做地质灾害勘查，因此滑动面及滑坡地质灾害灾变等级无法确定，为防止滑坡体继续向前滑移，</w:t>
      </w:r>
      <w:r>
        <w:rPr>
          <w:rFonts w:hint="eastAsia" w:ascii="宋体" w:hAnsi="宋体" w:eastAsia="宋体" w:cs="宋体"/>
          <w:color w:val="auto"/>
          <w:sz w:val="24"/>
          <w:lang w:val="en-US" w:eastAsia="zh-CN"/>
        </w:rPr>
        <w:t>2022年已对其进行治理，</w:t>
      </w:r>
      <w:r>
        <w:rPr>
          <w:rFonts w:hint="eastAsia" w:ascii="宋体" w:hAnsi="宋体" w:eastAsia="宋体" w:cs="宋体"/>
          <w:color w:val="auto"/>
          <w:sz w:val="24"/>
        </w:rPr>
        <w:t>紧邻回填区西侧为元宝山区政府灭火工程废石回填区，回填区三级台阶与灭火工程废石回填标高已基本一致（水平标高约为620m），仅差一条“窄沟”即可连接在一起，大量废石回填增加滑坡体前缘荷载。经调查数据显示，截止目前，滑坡体未见有扩大迹象，仅滑坡面有松散岩体滑动，整体东侧边坡呈较稳定状态。现状条件</w:t>
      </w:r>
      <w:r>
        <w:rPr>
          <w:rFonts w:hint="eastAsia" w:ascii="宋体" w:hAnsi="宋体" w:eastAsia="宋体" w:cs="宋体"/>
          <w:color w:val="auto"/>
          <w:sz w:val="24"/>
          <w:szCs w:val="24"/>
        </w:rPr>
        <w:t>下</w:t>
      </w:r>
      <w:r>
        <w:rPr>
          <w:rFonts w:hint="eastAsia" w:ascii="宋体" w:hAnsi="宋体" w:eastAsia="宋体" w:cs="宋体"/>
          <w:color w:val="auto"/>
          <w:sz w:val="24"/>
        </w:rPr>
        <w:t>缓坡灾害较发育。</w:t>
      </w:r>
    </w:p>
    <w:p>
      <w:pPr>
        <w:pStyle w:val="2"/>
        <w:jc w:val="center"/>
        <w:rPr>
          <w:rFonts w:hint="eastAsia" w:ascii="宋体" w:hAnsi="宋体" w:eastAsia="宋体" w:cs="宋体"/>
          <w:color w:val="auto"/>
        </w:rPr>
      </w:pPr>
      <w:r>
        <w:rPr>
          <w:rFonts w:hint="eastAsia" w:ascii="宋体" w:hAnsi="宋体" w:eastAsia="宋体" w:cs="宋体"/>
          <w:color w:val="auto"/>
        </w:rPr>
        <w:drawing>
          <wp:inline distT="0" distB="0" distL="114300" distR="114300">
            <wp:extent cx="4213225" cy="2424430"/>
            <wp:effectExtent l="0" t="0" r="6350" b="4445"/>
            <wp:docPr id="1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pic:cNvPicPr>
                      <a:picLocks noChangeAspect="1"/>
                    </pic:cNvPicPr>
                  </pic:nvPicPr>
                  <pic:blipFill>
                    <a:blip r:embed="rId16"/>
                    <a:stretch>
                      <a:fillRect/>
                    </a:stretch>
                  </pic:blipFill>
                  <pic:spPr>
                    <a:xfrm>
                      <a:off x="0" y="0"/>
                      <a:ext cx="4213225" cy="2424430"/>
                    </a:xfrm>
                    <a:prstGeom prst="rect">
                      <a:avLst/>
                    </a:prstGeom>
                    <a:noFill/>
                    <a:ln>
                      <a:noFill/>
                    </a:ln>
                  </pic:spPr>
                </pic:pic>
              </a:graphicData>
            </a:graphic>
          </wp:inline>
        </w:drawing>
      </w:r>
    </w:p>
    <w:p>
      <w:pPr>
        <w:tabs>
          <w:tab w:val="left" w:pos="1300"/>
        </w:tabs>
        <w:spacing w:after="0" w:line="240" w:lineRule="auto"/>
        <w:jc w:val="center"/>
        <w:rPr>
          <w:rFonts w:hint="eastAsia" w:ascii="宋体" w:hAnsi="宋体" w:eastAsia="宋体" w:cs="宋体"/>
          <w:b/>
          <w:bCs/>
          <w:color w:val="auto"/>
          <w:sz w:val="24"/>
          <w:lang w:eastAsia="zh-CN"/>
        </w:rPr>
      </w:pPr>
      <w:r>
        <w:rPr>
          <w:rFonts w:hint="eastAsia" w:ascii="宋体" w:hAnsi="宋体" w:eastAsia="宋体" w:cs="宋体"/>
          <w:b/>
          <w:bCs/>
          <w:color w:val="auto"/>
          <w:sz w:val="24"/>
        </w:rPr>
        <w:t>照片3-1  边坡滑坡面</w:t>
      </w:r>
      <w:r>
        <w:rPr>
          <w:rFonts w:hint="eastAsia" w:ascii="宋体" w:hAnsi="宋体" w:eastAsia="宋体" w:cs="宋体"/>
          <w:b/>
          <w:bCs/>
          <w:color w:val="auto"/>
          <w:sz w:val="24"/>
          <w:lang w:eastAsia="zh-CN"/>
        </w:rPr>
        <w:t>治理效果</w:t>
      </w:r>
    </w:p>
    <w:p>
      <w:pPr>
        <w:tabs>
          <w:tab w:val="left" w:pos="1300"/>
        </w:tabs>
        <w:spacing w:after="0" w:line="360" w:lineRule="auto"/>
        <w:ind w:left="0" w:leftChars="0" w:firstLine="0" w:firstLineChars="0"/>
        <w:jc w:val="center"/>
        <w:rPr>
          <w:rFonts w:hint="eastAsia" w:ascii="宋体" w:hAnsi="宋体" w:eastAsia="宋体" w:cs="宋体"/>
          <w:color w:val="auto"/>
          <w:sz w:val="24"/>
        </w:rPr>
      </w:pPr>
      <w:r>
        <w:rPr>
          <w:rFonts w:hint="eastAsia" w:ascii="宋体" w:hAnsi="宋体" w:eastAsia="宋体" w:cs="宋体"/>
          <w:color w:val="auto"/>
          <w:sz w:val="24"/>
        </w:rPr>
        <w:drawing>
          <wp:inline distT="0" distB="0" distL="114300" distR="114300">
            <wp:extent cx="4237355" cy="2475865"/>
            <wp:effectExtent l="0" t="0" r="1270" b="635"/>
            <wp:docPr id="10" name="图片 3" descr="DSCN5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descr="DSCN5653"/>
                    <pic:cNvPicPr>
                      <a:picLocks noChangeAspect="1"/>
                    </pic:cNvPicPr>
                  </pic:nvPicPr>
                  <pic:blipFill>
                    <a:blip r:embed="rId17"/>
                    <a:srcRect t="8821" b="13287"/>
                    <a:stretch>
                      <a:fillRect/>
                    </a:stretch>
                  </pic:blipFill>
                  <pic:spPr>
                    <a:xfrm>
                      <a:off x="0" y="0"/>
                      <a:ext cx="4237355" cy="2475865"/>
                    </a:xfrm>
                    <a:prstGeom prst="rect">
                      <a:avLst/>
                    </a:prstGeom>
                    <a:noFill/>
                    <a:ln>
                      <a:noFill/>
                    </a:ln>
                  </pic:spPr>
                </pic:pic>
              </a:graphicData>
            </a:graphic>
          </wp:inline>
        </w:drawing>
      </w:r>
    </w:p>
    <w:p>
      <w:pPr>
        <w:tabs>
          <w:tab w:val="left" w:pos="1300"/>
        </w:tabs>
        <w:spacing w:after="0" w:line="240" w:lineRule="auto"/>
        <w:jc w:val="center"/>
        <w:rPr>
          <w:rFonts w:hint="eastAsia" w:ascii="宋体" w:hAnsi="宋体" w:eastAsia="宋体" w:cs="宋体"/>
          <w:b/>
          <w:bCs/>
          <w:color w:val="auto"/>
          <w:sz w:val="24"/>
        </w:rPr>
      </w:pPr>
      <w:r>
        <w:rPr>
          <w:rFonts w:hint="eastAsia" w:ascii="宋体" w:hAnsi="宋体" w:eastAsia="宋体" w:cs="宋体"/>
          <w:b/>
          <w:bCs/>
          <w:color w:val="auto"/>
          <w:sz w:val="24"/>
        </w:rPr>
        <w:t>照片3-2  原废石场边坡形态</w:t>
      </w:r>
    </w:p>
    <w:p>
      <w:pPr>
        <w:tabs>
          <w:tab w:val="left" w:pos="1300"/>
        </w:tabs>
        <w:spacing w:after="0" w:line="360" w:lineRule="auto"/>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）地面沉降</w:t>
      </w:r>
    </w:p>
    <w:p>
      <w:pPr>
        <w:tabs>
          <w:tab w:val="left" w:pos="1300"/>
        </w:tabs>
        <w:spacing w:after="0" w:line="360" w:lineRule="auto"/>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根据《内蒙古自治区元宝山区五家镇元宝山区嘉润碳质泥岩矿矿业权调查报告》，矿业权拐点1、2、7、8范围内及南侧的煤矿赋存区已为采空区，经过十几年的沉降，地表最大沉降深度20m，经过露天开采及回填，沉降区已逐渐稳定。根据资料显示，政府灭火工程及矿山原露天采场开挖过程中发现原采空区已全部塌陷沉稳，未发现有老隆等现象，回填前露天开采最低标高已经超过原五家煤矿一井最低开采标高，证实原露天采场下部没有采空区，且矿区及周边无大型供水水源地，现状条件下地面沉降灾害不发育。</w:t>
      </w:r>
    </w:p>
    <w:p>
      <w:pPr>
        <w:spacing w:after="0" w:line="360" w:lineRule="auto"/>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）地面塌陷</w:t>
      </w:r>
    </w:p>
    <w:p>
      <w:pPr>
        <w:tabs>
          <w:tab w:val="left" w:pos="1300"/>
        </w:tabs>
        <w:spacing w:after="0" w:line="360" w:lineRule="auto"/>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根据资料显示及现场调查，政府灭火工程及矿山原露天采场开挖过程中发现原采空区已全部塌陷沉稳，未发现有老隆等现象，前期回填前露天开采最低标高已经超过原五家煤矿一井最低开采标高，原露天采场下部没有采空区，现状条件下地面塌陷灾害不发育。</w:t>
      </w:r>
    </w:p>
    <w:p>
      <w:pPr>
        <w:spacing w:after="0" w:line="360" w:lineRule="auto"/>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）地裂缝</w:t>
      </w:r>
    </w:p>
    <w:p>
      <w:pPr>
        <w:pStyle w:val="168"/>
        <w:tabs>
          <w:tab w:val="left" w:pos="6120"/>
        </w:tabs>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t>矿区内地质构造简单，第四系全新统岩性主要为松散堆积物，现状</w:t>
      </w:r>
      <w:r>
        <w:rPr>
          <w:rFonts w:hint="eastAsia" w:ascii="宋体" w:hAnsi="宋体" w:eastAsia="宋体" w:cs="宋体"/>
          <w:color w:val="auto"/>
          <w:sz w:val="24"/>
          <w:szCs w:val="24"/>
          <w:lang w:eastAsia="zh-CN"/>
        </w:rPr>
        <w:t>条件下</w:t>
      </w:r>
      <w:r>
        <w:rPr>
          <w:rFonts w:hint="eastAsia" w:ascii="宋体" w:hAnsi="宋体" w:eastAsia="宋体" w:cs="宋体"/>
          <w:color w:val="auto"/>
          <w:sz w:val="24"/>
          <w:szCs w:val="24"/>
        </w:rPr>
        <w:t>地裂缝灾害不发育。</w:t>
      </w:r>
    </w:p>
    <w:p>
      <w:pPr>
        <w:spacing w:after="0" w:line="360" w:lineRule="auto"/>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）风蚀沙埋</w:t>
      </w:r>
    </w:p>
    <w:p>
      <w:pPr>
        <w:spacing w:after="0" w:line="360" w:lineRule="auto"/>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春季风沙较大，一般风力5～7级，最大风速15.0m/s，地表植被较发育，矿区及周边沙源不发育，现状条件下风蚀沙埋灾害不发育。</w:t>
      </w:r>
    </w:p>
    <w:p>
      <w:pPr>
        <w:spacing w:after="0" w:line="360" w:lineRule="auto"/>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rPr>
        <w:t>）冻胀融陷</w:t>
      </w:r>
    </w:p>
    <w:p>
      <w:pPr>
        <w:pStyle w:val="168"/>
        <w:tabs>
          <w:tab w:val="left" w:pos="6120"/>
        </w:tabs>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t>本区内最低气温-31.4℃，最大冻土深度</w:t>
      </w:r>
      <w:r>
        <w:rPr>
          <w:rFonts w:hint="eastAsia" w:ascii="宋体" w:hAnsi="宋体" w:eastAsia="宋体" w:cs="宋体"/>
          <w:color w:val="auto"/>
          <w:sz w:val="24"/>
          <w:szCs w:val="24"/>
          <w:lang w:val="en-US" w:eastAsia="zh-CN"/>
        </w:rPr>
        <w:t>2.01</w:t>
      </w:r>
      <w:r>
        <w:rPr>
          <w:rFonts w:hint="eastAsia" w:ascii="宋体" w:hAnsi="宋体" w:eastAsia="宋体" w:cs="宋体"/>
          <w:color w:val="auto"/>
          <w:sz w:val="24"/>
          <w:szCs w:val="24"/>
        </w:rPr>
        <w:t>m，</w:t>
      </w:r>
      <w:r>
        <w:rPr>
          <w:rFonts w:hint="eastAsia" w:ascii="宋体" w:hAnsi="宋体" w:eastAsia="宋体" w:cs="宋体"/>
          <w:color w:val="auto"/>
          <w:sz w:val="24"/>
          <w:szCs w:val="24"/>
          <w:lang w:eastAsia="zh-CN"/>
        </w:rPr>
        <w:t>矿区地下水富水性弱，且构筑物地基稳固，场地</w:t>
      </w:r>
      <w:r>
        <w:rPr>
          <w:rFonts w:hint="eastAsia" w:ascii="宋体" w:hAnsi="宋体" w:eastAsia="宋体" w:cs="宋体"/>
          <w:color w:val="auto"/>
          <w:sz w:val="24"/>
          <w:szCs w:val="24"/>
        </w:rPr>
        <w:t>经过夯实，现状条件下冻胀融陷灾害不发育。</w:t>
      </w:r>
    </w:p>
    <w:p>
      <w:pPr>
        <w:pStyle w:val="168"/>
        <w:tabs>
          <w:tab w:val="left" w:pos="6120"/>
        </w:tabs>
        <w:spacing w:line="360" w:lineRule="auto"/>
        <w:ind w:firstLine="464"/>
        <w:rPr>
          <w:rFonts w:hint="eastAsia" w:ascii="宋体" w:hAnsi="宋体" w:eastAsia="宋体" w:cs="宋体"/>
          <w:color w:val="auto"/>
          <w:sz w:val="24"/>
          <w:szCs w:val="24"/>
        </w:rPr>
      </w:pPr>
      <w:r>
        <w:rPr>
          <w:rFonts w:hint="eastAsia" w:ascii="宋体" w:hAnsi="宋体" w:eastAsia="宋体" w:cs="宋体"/>
          <w:color w:val="auto"/>
          <w:spacing w:val="-4"/>
          <w:sz w:val="24"/>
          <w:szCs w:val="24"/>
        </w:rPr>
        <w:t>综上所述，</w:t>
      </w:r>
      <w:r>
        <w:rPr>
          <w:rFonts w:hint="eastAsia" w:ascii="宋体" w:hAnsi="宋体" w:eastAsia="宋体" w:cs="宋体"/>
          <w:color w:val="auto"/>
          <w:sz w:val="24"/>
          <w:szCs w:val="24"/>
        </w:rPr>
        <w:t>在现状条件下，评估区内地质灾害</w:t>
      </w:r>
      <w:r>
        <w:rPr>
          <w:rFonts w:hint="eastAsia" w:ascii="宋体" w:hAnsi="宋体" w:eastAsia="宋体" w:cs="宋体"/>
          <w:color w:val="auto"/>
          <w:sz w:val="24"/>
          <w:szCs w:val="24"/>
          <w:lang w:eastAsia="zh-CN"/>
        </w:rPr>
        <w:t>较发育</w:t>
      </w:r>
      <w:r>
        <w:rPr>
          <w:rFonts w:hint="eastAsia" w:ascii="宋体" w:hAnsi="宋体" w:eastAsia="宋体" w:cs="宋体"/>
          <w:color w:val="auto"/>
          <w:sz w:val="24"/>
          <w:szCs w:val="24"/>
        </w:rPr>
        <w:t>。</w:t>
      </w:r>
    </w:p>
    <w:p>
      <w:pPr>
        <w:keepNext w:val="0"/>
        <w:keepLines w:val="0"/>
        <w:pageBreakBefore w:val="0"/>
        <w:widowControl w:val="0"/>
        <w:tabs>
          <w:tab w:val="left" w:pos="720"/>
        </w:tabs>
        <w:kinsoku/>
        <w:wordWrap/>
        <w:overflowPunct/>
        <w:topLinePunct w:val="0"/>
        <w:autoSpaceDE w:val="0"/>
        <w:autoSpaceDN w:val="0"/>
        <w:bidi w:val="0"/>
        <w:adjustRightInd w:val="0"/>
        <w:spacing w:after="0" w:line="360" w:lineRule="auto"/>
        <w:ind w:firstLine="482" w:firstLineChars="200"/>
        <w:jc w:val="left"/>
        <w:textAlignment w:val="auto"/>
        <w:rPr>
          <w:rFonts w:hint="eastAsia" w:ascii="宋体" w:hAnsi="宋体" w:eastAsia="宋体" w:cs="宋体"/>
          <w:b/>
          <w:color w:val="auto"/>
          <w:sz w:val="24"/>
        </w:rPr>
      </w:pPr>
      <w:r>
        <w:rPr>
          <w:rFonts w:hint="eastAsia" w:ascii="宋体" w:hAnsi="宋体" w:eastAsia="宋体" w:cs="宋体"/>
          <w:b/>
          <w:color w:val="auto"/>
          <w:sz w:val="24"/>
          <w:lang w:val="en-US" w:eastAsia="zh-CN"/>
        </w:rPr>
        <w:t>2</w:t>
      </w:r>
      <w:r>
        <w:rPr>
          <w:rFonts w:hint="eastAsia" w:ascii="宋体" w:hAnsi="宋体" w:eastAsia="宋体" w:cs="宋体"/>
          <w:b/>
          <w:color w:val="auto"/>
          <w:sz w:val="24"/>
        </w:rPr>
        <w:t>、含水层的影响和破坏现状评估</w:t>
      </w:r>
    </w:p>
    <w:p>
      <w:pPr>
        <w:keepNext w:val="0"/>
        <w:keepLines w:val="0"/>
        <w:pageBreakBefore w:val="0"/>
        <w:widowControl w:val="0"/>
        <w:tabs>
          <w:tab w:val="left" w:pos="720"/>
        </w:tabs>
        <w:kinsoku/>
        <w:wordWrap/>
        <w:overflowPunct/>
        <w:topLinePunct w:val="0"/>
        <w:autoSpaceDE w:val="0"/>
        <w:autoSpaceDN w:val="0"/>
        <w:bidi w:val="0"/>
        <w:adjustRightInd w:val="0"/>
        <w:spacing w:after="0"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1、含水层结构破坏</w:t>
      </w:r>
    </w:p>
    <w:p>
      <w:pPr>
        <w:keepNext w:val="0"/>
        <w:keepLines w:val="0"/>
        <w:pageBreakBefore w:val="0"/>
        <w:widowControl w:val="0"/>
        <w:tabs>
          <w:tab w:val="left" w:pos="720"/>
        </w:tabs>
        <w:kinsoku/>
        <w:wordWrap/>
        <w:overflowPunct/>
        <w:topLinePunct w:val="0"/>
        <w:autoSpaceDE w:val="0"/>
        <w:autoSpaceDN w:val="0"/>
        <w:bidi w:val="0"/>
        <w:adjustRightInd w:val="0"/>
        <w:spacing w:after="0" w:line="360" w:lineRule="auto"/>
        <w:ind w:firstLine="471"/>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矿区地下含水层类型为基岩裂隙水，水位埋深29.40-48.70m，现状露天采场的</w:t>
      </w:r>
      <w:r>
        <w:rPr>
          <w:rFonts w:hint="eastAsia" w:ascii="宋体" w:hAnsi="宋体" w:eastAsia="宋体" w:cs="宋体"/>
          <w:color w:val="auto"/>
          <w:sz w:val="24"/>
          <w:szCs w:val="24"/>
          <w:lang w:val="en-US" w:eastAsia="zh-CN"/>
        </w:rPr>
        <w:t>未</w:t>
      </w:r>
      <w:r>
        <w:rPr>
          <w:rFonts w:hint="eastAsia" w:ascii="宋体" w:hAnsi="宋体" w:eastAsia="宋体" w:cs="宋体"/>
          <w:color w:val="auto"/>
          <w:sz w:val="24"/>
          <w:szCs w:val="24"/>
        </w:rPr>
        <w:t>揭露至基岩裂隙含水层，对含水层的影响较</w:t>
      </w:r>
      <w:r>
        <w:rPr>
          <w:rFonts w:hint="eastAsia" w:ascii="宋体" w:hAnsi="宋体" w:eastAsia="宋体" w:cs="宋体"/>
          <w:color w:val="auto"/>
          <w:sz w:val="24"/>
          <w:szCs w:val="24"/>
          <w:lang w:val="en-US" w:eastAsia="zh-CN"/>
        </w:rPr>
        <w:t>轻</w:t>
      </w:r>
      <w:r>
        <w:rPr>
          <w:rFonts w:hint="eastAsia" w:ascii="宋体" w:hAnsi="宋体" w:eastAsia="宋体" w:cs="宋体"/>
          <w:color w:val="auto"/>
          <w:sz w:val="24"/>
          <w:szCs w:val="24"/>
        </w:rPr>
        <w:t>。</w:t>
      </w:r>
    </w:p>
    <w:p>
      <w:pPr>
        <w:keepNext w:val="0"/>
        <w:keepLines w:val="0"/>
        <w:pageBreakBefore w:val="0"/>
        <w:widowControl w:val="0"/>
        <w:kinsoku/>
        <w:wordWrap/>
        <w:overflowPunct/>
        <w:topLinePunct w:val="0"/>
        <w:bidi w:val="0"/>
        <w:spacing w:after="0" w:line="360" w:lineRule="auto"/>
        <w:ind w:firstLine="480" w:firstLineChars="200"/>
        <w:contextualSpacing/>
        <w:jc w:val="left"/>
        <w:textAlignment w:val="auto"/>
        <w:rPr>
          <w:rFonts w:hint="eastAsia" w:ascii="宋体" w:hAnsi="宋体" w:eastAsia="宋体" w:cs="宋体"/>
          <w:color w:val="auto"/>
          <w:sz w:val="24"/>
        </w:rPr>
      </w:pPr>
      <w:r>
        <w:rPr>
          <w:rFonts w:hint="eastAsia" w:ascii="宋体" w:hAnsi="宋体" w:eastAsia="宋体" w:cs="宋体"/>
          <w:color w:val="auto"/>
          <w:sz w:val="24"/>
        </w:rPr>
        <w:t>2、矿坑疏干水对含水层的影响</w:t>
      </w:r>
    </w:p>
    <w:p>
      <w:pPr>
        <w:keepNext w:val="0"/>
        <w:keepLines w:val="0"/>
        <w:pageBreakBefore w:val="0"/>
        <w:widowControl w:val="0"/>
        <w:tabs>
          <w:tab w:val="left" w:pos="720"/>
        </w:tabs>
        <w:kinsoku/>
        <w:wordWrap/>
        <w:overflowPunct/>
        <w:topLinePunct w:val="0"/>
        <w:autoSpaceDE w:val="0"/>
        <w:autoSpaceDN w:val="0"/>
        <w:bidi w:val="0"/>
        <w:adjustRightInd w:val="0"/>
        <w:spacing w:after="0"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rPr>
        <w:t>根据调查，</w:t>
      </w:r>
      <w:r>
        <w:rPr>
          <w:rFonts w:hint="eastAsia" w:ascii="宋体" w:hAnsi="宋体" w:eastAsia="宋体" w:cs="宋体"/>
          <w:color w:val="auto"/>
          <w:sz w:val="24"/>
          <w:lang w:val="en-US" w:eastAsia="zh-CN"/>
        </w:rPr>
        <w:t>现状矿山处于停产状态，无疏干排水。</w:t>
      </w:r>
    </w:p>
    <w:p>
      <w:pPr>
        <w:keepNext w:val="0"/>
        <w:keepLines w:val="0"/>
        <w:pageBreakBefore w:val="0"/>
        <w:widowControl w:val="0"/>
        <w:tabs>
          <w:tab w:val="left" w:pos="720"/>
        </w:tabs>
        <w:kinsoku/>
        <w:wordWrap/>
        <w:overflowPunct/>
        <w:topLinePunct w:val="0"/>
        <w:autoSpaceDE w:val="0"/>
        <w:autoSpaceDN w:val="0"/>
        <w:bidi w:val="0"/>
        <w:adjustRightInd w:val="0"/>
        <w:spacing w:after="0" w:line="360" w:lineRule="auto"/>
        <w:ind w:firstLine="480" w:firstLineChars="200"/>
        <w:jc w:val="left"/>
        <w:textAlignment w:val="auto"/>
        <w:rPr>
          <w:rFonts w:hint="eastAsia" w:ascii="宋体" w:hAnsi="宋体" w:eastAsia="宋体" w:cs="宋体"/>
          <w:color w:val="auto"/>
          <w:sz w:val="24"/>
        </w:rPr>
      </w:pPr>
      <w:r>
        <w:rPr>
          <w:rFonts w:hint="eastAsia" w:ascii="宋体" w:hAnsi="宋体" w:eastAsia="宋体" w:cs="宋体"/>
          <w:color w:val="auto"/>
          <w:sz w:val="24"/>
        </w:rPr>
        <w:t>3、对矿区及附近水源的影响</w:t>
      </w:r>
    </w:p>
    <w:p>
      <w:pPr>
        <w:keepNext w:val="0"/>
        <w:keepLines w:val="0"/>
        <w:pageBreakBefore w:val="0"/>
        <w:widowControl w:val="0"/>
        <w:kinsoku/>
        <w:wordWrap/>
        <w:overflowPunct/>
        <w:topLinePunct w:val="0"/>
        <w:bidi w:val="0"/>
        <w:spacing w:after="0" w:line="360" w:lineRule="auto"/>
        <w:ind w:firstLine="480" w:firstLineChars="200"/>
        <w:contextualSpacing/>
        <w:jc w:val="left"/>
        <w:textAlignment w:val="auto"/>
        <w:rPr>
          <w:rFonts w:hint="eastAsia" w:ascii="宋体" w:hAnsi="宋体" w:eastAsia="宋体" w:cs="宋体"/>
          <w:color w:val="auto"/>
          <w:sz w:val="24"/>
        </w:rPr>
      </w:pPr>
      <w:r>
        <w:rPr>
          <w:rFonts w:hint="eastAsia" w:ascii="宋体" w:hAnsi="宋体" w:eastAsia="宋体" w:cs="宋体"/>
          <w:color w:val="auto"/>
          <w:sz w:val="24"/>
        </w:rPr>
        <w:t>矿区内水系不发育，排泄河流为矿区外东侧老哈河，</w:t>
      </w:r>
      <w:r>
        <w:rPr>
          <w:rFonts w:hint="eastAsia" w:ascii="宋体" w:hAnsi="宋体" w:eastAsia="宋体" w:cs="宋体"/>
          <w:color w:val="auto"/>
          <w:sz w:val="24"/>
          <w:lang w:val="en-US" w:eastAsia="zh-CN"/>
        </w:rPr>
        <w:t>无疏干排水</w:t>
      </w:r>
      <w:r>
        <w:rPr>
          <w:rFonts w:hint="eastAsia" w:ascii="宋体" w:hAnsi="宋体" w:eastAsia="宋体" w:cs="宋体"/>
          <w:color w:val="auto"/>
          <w:sz w:val="24"/>
        </w:rPr>
        <w:t>，对附近水源无影响。</w:t>
      </w:r>
    </w:p>
    <w:p>
      <w:pPr>
        <w:keepNext w:val="0"/>
        <w:keepLines w:val="0"/>
        <w:pageBreakBefore w:val="0"/>
        <w:widowControl w:val="0"/>
        <w:tabs>
          <w:tab w:val="left" w:pos="720"/>
        </w:tabs>
        <w:kinsoku/>
        <w:wordWrap/>
        <w:overflowPunct/>
        <w:topLinePunct w:val="0"/>
        <w:autoSpaceDE w:val="0"/>
        <w:autoSpaceDN w:val="0"/>
        <w:bidi w:val="0"/>
        <w:adjustRightInd w:val="0"/>
        <w:spacing w:after="0" w:line="360" w:lineRule="auto"/>
        <w:ind w:firstLine="480" w:firstLineChars="200"/>
        <w:jc w:val="left"/>
        <w:textAlignment w:val="auto"/>
        <w:rPr>
          <w:rFonts w:hint="eastAsia" w:ascii="宋体" w:hAnsi="宋体" w:eastAsia="宋体" w:cs="宋体"/>
          <w:color w:val="auto"/>
          <w:sz w:val="24"/>
        </w:rPr>
      </w:pPr>
      <w:r>
        <w:rPr>
          <w:rFonts w:hint="eastAsia" w:ascii="宋体" w:hAnsi="宋体" w:eastAsia="宋体" w:cs="宋体"/>
          <w:color w:val="auto"/>
          <w:sz w:val="24"/>
        </w:rPr>
        <w:t>4、对地下水水质影响</w:t>
      </w:r>
    </w:p>
    <w:p>
      <w:pPr>
        <w:keepNext w:val="0"/>
        <w:keepLines w:val="0"/>
        <w:pageBreakBefore w:val="0"/>
        <w:widowControl w:val="0"/>
        <w:tabs>
          <w:tab w:val="left" w:pos="720"/>
        </w:tabs>
        <w:kinsoku/>
        <w:wordWrap/>
        <w:overflowPunct/>
        <w:topLinePunct w:val="0"/>
        <w:autoSpaceDE w:val="0"/>
        <w:autoSpaceDN w:val="0"/>
        <w:bidi w:val="0"/>
        <w:adjustRightInd w:val="0"/>
        <w:spacing w:after="0" w:line="360" w:lineRule="auto"/>
        <w:ind w:firstLine="480" w:firstLineChars="200"/>
        <w:jc w:val="left"/>
        <w:textAlignment w:val="auto"/>
        <w:rPr>
          <w:rStyle w:val="570"/>
          <w:rFonts w:hint="eastAsia" w:ascii="宋体" w:hAnsi="宋体" w:eastAsia="宋体" w:cs="宋体"/>
          <w:color w:val="auto"/>
        </w:rPr>
      </w:pPr>
      <w:r>
        <w:rPr>
          <w:rStyle w:val="570"/>
          <w:rFonts w:hint="eastAsia" w:ascii="宋体" w:hAnsi="宋体" w:eastAsia="宋体" w:cs="宋体"/>
          <w:color w:val="auto"/>
        </w:rPr>
        <w:t>现状矿山处于停产阶段，生活污水排放量较小，经简单净化后全部用于矿区绿化及降尘。矿坑现状无疏干水，对地下水水质影响较轻。</w:t>
      </w:r>
    </w:p>
    <w:p>
      <w:pPr>
        <w:keepNext w:val="0"/>
        <w:keepLines w:val="0"/>
        <w:pageBreakBefore w:val="0"/>
        <w:widowControl w:val="0"/>
        <w:kinsoku/>
        <w:wordWrap/>
        <w:overflowPunct/>
        <w:topLinePunct w:val="0"/>
        <w:bidi w:val="0"/>
        <w:adjustRightInd/>
        <w:snapToGrid/>
        <w:ind w:firstLine="480"/>
        <w:jc w:val="left"/>
        <w:textAlignment w:val="auto"/>
        <w:rPr>
          <w:rFonts w:hint="eastAsia" w:ascii="宋体" w:hAnsi="宋体" w:eastAsia="宋体" w:cs="宋体"/>
          <w:b/>
          <w:bCs/>
          <w:color w:val="auto"/>
        </w:rPr>
      </w:pPr>
      <w:r>
        <w:rPr>
          <w:rFonts w:hint="eastAsia" w:ascii="宋体" w:hAnsi="宋体" w:eastAsia="宋体" w:cs="宋体"/>
          <w:color w:val="auto"/>
          <w:sz w:val="24"/>
        </w:rPr>
        <w:t>综上所述，现状评估对矿区及附近水源影响较</w:t>
      </w:r>
      <w:r>
        <w:rPr>
          <w:rFonts w:hint="eastAsia" w:ascii="宋体" w:hAnsi="宋体" w:eastAsia="宋体" w:cs="宋体"/>
          <w:color w:val="auto"/>
          <w:sz w:val="24"/>
          <w:lang w:val="en-US" w:eastAsia="zh-CN"/>
        </w:rPr>
        <w:t>轻</w:t>
      </w:r>
      <w:r>
        <w:rPr>
          <w:rFonts w:hint="eastAsia" w:ascii="宋体" w:hAnsi="宋体" w:eastAsia="宋体" w:cs="宋体"/>
          <w:color w:val="auto"/>
          <w:sz w:val="24"/>
        </w:rPr>
        <w:t>。</w:t>
      </w:r>
    </w:p>
    <w:p>
      <w:pPr>
        <w:keepNext w:val="0"/>
        <w:keepLines w:val="0"/>
        <w:pageBreakBefore w:val="0"/>
        <w:widowControl w:val="0"/>
        <w:kinsoku/>
        <w:wordWrap/>
        <w:overflowPunct/>
        <w:topLinePunct w:val="0"/>
        <w:autoSpaceDE/>
        <w:autoSpaceDN/>
        <w:bidi w:val="0"/>
        <w:adjustRightInd/>
        <w:snapToGrid/>
        <w:ind w:firstLine="480"/>
        <w:jc w:val="left"/>
        <w:textAlignment w:val="auto"/>
        <w:rPr>
          <w:rFonts w:hint="eastAsia" w:ascii="宋体" w:hAnsi="宋体" w:eastAsia="宋体" w:cs="宋体"/>
          <w:b/>
          <w:bCs/>
          <w:color w:val="auto"/>
        </w:rPr>
      </w:pPr>
      <w:r>
        <w:rPr>
          <w:rFonts w:hint="eastAsia" w:ascii="宋体" w:hAnsi="宋体" w:eastAsia="宋体" w:cs="宋体"/>
          <w:b/>
          <w:color w:val="auto"/>
          <w:sz w:val="24"/>
          <w:lang w:val="en-US" w:eastAsia="zh-CN"/>
        </w:rPr>
        <w:t>3</w:t>
      </w:r>
      <w:r>
        <w:rPr>
          <w:rFonts w:hint="eastAsia" w:ascii="宋体" w:hAnsi="宋体" w:eastAsia="宋体" w:cs="宋体"/>
          <w:b/>
          <w:color w:val="auto"/>
          <w:sz w:val="24"/>
        </w:rPr>
        <w:t>、地形地貌景观影响和破坏现状评估</w:t>
      </w:r>
    </w:p>
    <w:p>
      <w:pPr>
        <w:keepNext w:val="0"/>
        <w:keepLines w:val="0"/>
        <w:pageBreakBefore w:val="0"/>
        <w:widowControl w:val="0"/>
        <w:kinsoku/>
        <w:wordWrap/>
        <w:overflowPunct/>
        <w:topLinePunct w:val="0"/>
        <w:autoSpaceDE/>
        <w:autoSpaceDN/>
        <w:bidi w:val="0"/>
        <w:adjustRightInd/>
        <w:snapToGrid/>
        <w:ind w:firstLine="480"/>
        <w:jc w:val="left"/>
        <w:textAlignment w:val="auto"/>
        <w:rPr>
          <w:rFonts w:hint="eastAsia" w:ascii="宋体" w:hAnsi="宋体" w:eastAsia="宋体" w:cs="宋体"/>
          <w:b/>
          <w:bCs/>
          <w:color w:val="auto"/>
        </w:rPr>
      </w:pPr>
      <w:r>
        <w:rPr>
          <w:rFonts w:hint="eastAsia" w:ascii="宋体" w:hAnsi="宋体" w:eastAsia="宋体" w:cs="宋体"/>
          <w:b w:val="0"/>
          <w:bCs w:val="0"/>
          <w:color w:val="auto"/>
          <w:lang w:eastAsia="zh-CN"/>
        </w:rPr>
        <w:t>（</w:t>
      </w:r>
      <w:r>
        <w:rPr>
          <w:rFonts w:hint="eastAsia" w:ascii="宋体" w:hAnsi="宋体" w:eastAsia="宋体" w:cs="宋体"/>
          <w:b w:val="0"/>
          <w:bCs w:val="0"/>
          <w:color w:val="auto"/>
          <w:lang w:val="en-US" w:eastAsia="zh-CN"/>
        </w:rPr>
        <w:t>1</w:t>
      </w:r>
      <w:r>
        <w:rPr>
          <w:rFonts w:hint="eastAsia" w:ascii="宋体" w:hAnsi="宋体" w:eastAsia="宋体" w:cs="宋体"/>
          <w:b w:val="0"/>
          <w:bCs w:val="0"/>
          <w:color w:val="auto"/>
          <w:lang w:eastAsia="zh-CN"/>
        </w:rPr>
        <w:t>）</w:t>
      </w:r>
      <w:r>
        <w:rPr>
          <w:rFonts w:hint="eastAsia" w:ascii="宋体" w:hAnsi="宋体" w:eastAsia="宋体" w:cs="宋体"/>
          <w:b w:val="0"/>
          <w:bCs w:val="0"/>
          <w:color w:val="auto"/>
        </w:rPr>
        <w:t>露天采场</w:t>
      </w:r>
    </w:p>
    <w:p>
      <w:pPr>
        <w:pStyle w:val="34"/>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contextualSpacing/>
        <w:jc w:val="left"/>
        <w:textAlignment w:val="auto"/>
        <w:rPr>
          <w:rFonts w:hint="eastAsia" w:ascii="宋体" w:hAnsi="宋体" w:eastAsia="宋体" w:cs="宋体"/>
          <w:color w:val="auto"/>
          <w:sz w:val="24"/>
        </w:rPr>
      </w:pPr>
      <w:r>
        <w:rPr>
          <w:rFonts w:hint="eastAsia" w:ascii="宋体" w:hAnsi="宋体" w:eastAsia="宋体" w:cs="宋体"/>
          <w:color w:val="auto"/>
          <w:sz w:val="24"/>
        </w:rPr>
        <w:t>露天采场位于矿区西侧，采场面积</w:t>
      </w:r>
      <w:r>
        <w:rPr>
          <w:rFonts w:hint="eastAsia" w:ascii="宋体" w:hAnsi="宋体" w:eastAsia="宋体" w:cs="宋体"/>
          <w:color w:val="auto"/>
          <w:sz w:val="24"/>
          <w:lang w:val="en-US" w:eastAsia="zh-CN"/>
        </w:rPr>
        <w:t>43919</w:t>
      </w:r>
      <w:r>
        <w:rPr>
          <w:rFonts w:hint="eastAsia" w:ascii="宋体" w:hAnsi="宋体" w:eastAsia="宋体" w:cs="宋体"/>
          <w:color w:val="auto"/>
          <w:sz w:val="24"/>
        </w:rPr>
        <w:t>m</w:t>
      </w:r>
      <w:r>
        <w:rPr>
          <w:rFonts w:hint="eastAsia" w:ascii="宋体" w:hAnsi="宋体" w:eastAsia="宋体" w:cs="宋体"/>
          <w:color w:val="auto"/>
          <w:sz w:val="24"/>
          <w:vertAlign w:val="superscript"/>
        </w:rPr>
        <w:t>2</w:t>
      </w:r>
      <w:r>
        <w:rPr>
          <w:rFonts w:hint="eastAsia" w:ascii="宋体" w:hAnsi="宋体" w:eastAsia="宋体" w:cs="宋体"/>
          <w:color w:val="auto"/>
          <w:sz w:val="24"/>
        </w:rPr>
        <w:t>。</w:t>
      </w:r>
      <w:r>
        <w:rPr>
          <w:rFonts w:hint="eastAsia" w:ascii="宋体" w:hAnsi="宋体" w:eastAsia="宋体" w:cs="宋体"/>
          <w:color w:val="auto"/>
          <w:sz w:val="24"/>
          <w:lang w:eastAsia="zh-CN"/>
        </w:rPr>
        <w:t>现状形成</w:t>
      </w:r>
      <w:r>
        <w:rPr>
          <w:rFonts w:hint="eastAsia" w:ascii="宋体" w:hAnsi="宋体" w:eastAsia="宋体" w:cs="宋体"/>
          <w:color w:val="auto"/>
          <w:sz w:val="24"/>
          <w:lang w:val="en-US" w:eastAsia="zh-CN"/>
        </w:rPr>
        <w:t>613m、620m、633m、640m、644m标高，采场底部形成约2-8m标高的采坑，采场北侧部分已进行治理，</w:t>
      </w:r>
      <w:r>
        <w:rPr>
          <w:rFonts w:hint="eastAsia" w:ascii="宋体" w:hAnsi="宋体" w:eastAsia="宋体" w:cs="宋体"/>
          <w:color w:val="auto"/>
          <w:sz w:val="24"/>
          <w:szCs w:val="24"/>
        </w:rPr>
        <w:t>场地建设</w:t>
      </w:r>
      <w:r>
        <w:rPr>
          <w:rFonts w:hint="eastAsia" w:ascii="宋体" w:hAnsi="宋体" w:eastAsia="宋体" w:cs="宋体"/>
          <w:color w:val="auto"/>
          <w:sz w:val="24"/>
          <w:szCs w:val="24"/>
          <w:lang w:eastAsia="zh-CN"/>
        </w:rPr>
        <w:t>破坏了地形地貌景观</w:t>
      </w:r>
      <w:r>
        <w:rPr>
          <w:rFonts w:hint="eastAsia" w:ascii="宋体" w:hAnsi="宋体" w:eastAsia="宋体" w:cs="宋体"/>
          <w:color w:val="auto"/>
          <w:sz w:val="24"/>
          <w:szCs w:val="24"/>
        </w:rPr>
        <w:t>。</w:t>
      </w:r>
    </w:p>
    <w:p>
      <w:pPr>
        <w:ind w:left="0" w:leftChars="0" w:firstLine="0" w:firstLineChars="0"/>
        <w:jc w:val="center"/>
        <w:rPr>
          <w:rFonts w:hint="eastAsia" w:ascii="宋体" w:hAnsi="宋体" w:eastAsia="宋体" w:cs="宋体"/>
          <w:color w:val="auto"/>
          <w:szCs w:val="24"/>
          <w:lang w:eastAsia="zh-CN"/>
        </w:rPr>
      </w:pPr>
      <w:r>
        <w:rPr>
          <w:rFonts w:hint="eastAsia" w:ascii="宋体" w:hAnsi="宋体" w:eastAsia="宋体" w:cs="宋体"/>
          <w:color w:val="auto"/>
          <w:szCs w:val="24"/>
          <w:lang w:eastAsia="zh-CN"/>
        </w:rPr>
        <w:drawing>
          <wp:inline distT="0" distB="0" distL="114300" distR="114300">
            <wp:extent cx="2604770" cy="1778635"/>
            <wp:effectExtent l="0" t="0" r="5080" b="12065"/>
            <wp:docPr id="13" name="图片 13" descr="DJI_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DJI_0011"/>
                    <pic:cNvPicPr>
                      <a:picLocks noChangeAspect="1"/>
                    </pic:cNvPicPr>
                  </pic:nvPicPr>
                  <pic:blipFill>
                    <a:blip r:embed="rId18"/>
                    <a:srcRect l="10414" t="25321" r="7537"/>
                    <a:stretch>
                      <a:fillRect/>
                    </a:stretch>
                  </pic:blipFill>
                  <pic:spPr>
                    <a:xfrm>
                      <a:off x="0" y="0"/>
                      <a:ext cx="2604770" cy="1778635"/>
                    </a:xfrm>
                    <a:prstGeom prst="rect">
                      <a:avLst/>
                    </a:prstGeom>
                  </pic:spPr>
                </pic:pic>
              </a:graphicData>
            </a:graphic>
          </wp:inline>
        </w:drawing>
      </w:r>
    </w:p>
    <w:p>
      <w:pPr>
        <w:ind w:left="0" w:leftChars="0" w:firstLine="0" w:firstLineChars="0"/>
        <w:contextualSpacing/>
        <w:jc w:val="center"/>
        <w:textAlignment w:val="center"/>
        <w:rPr>
          <w:rFonts w:hint="eastAsia" w:ascii="宋体" w:hAnsi="宋体" w:eastAsia="宋体" w:cs="宋体"/>
          <w:b w:val="0"/>
          <w:bCs/>
          <w:color w:val="auto"/>
          <w:spacing w:val="-4"/>
          <w:szCs w:val="24"/>
          <w:lang w:eastAsia="zh-CN"/>
        </w:rPr>
      </w:pPr>
      <w:r>
        <w:rPr>
          <w:rFonts w:hint="eastAsia" w:ascii="宋体" w:hAnsi="宋体" w:eastAsia="宋体" w:cs="宋体"/>
          <w:b w:val="0"/>
          <w:bCs/>
          <w:color w:val="auto"/>
          <w:spacing w:val="-4"/>
          <w:szCs w:val="24"/>
          <w:lang w:eastAsia="zh-CN"/>
        </w:rPr>
        <w:t>照片4-1  露天采场</w:t>
      </w:r>
    </w:p>
    <w:p>
      <w:pPr>
        <w:pStyle w:val="34"/>
        <w:adjustRightInd w:val="0"/>
        <w:snapToGrid w:val="0"/>
        <w:spacing w:after="0" w:line="360" w:lineRule="auto"/>
        <w:ind w:left="0" w:leftChars="0" w:firstLine="480" w:firstLineChars="200"/>
        <w:contextualSpacing/>
        <w:jc w:val="both"/>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（2）原废石场</w:t>
      </w:r>
    </w:p>
    <w:p>
      <w:pPr>
        <w:ind w:firstLine="464"/>
        <w:rPr>
          <w:rFonts w:hint="eastAsia" w:ascii="宋体" w:hAnsi="宋体" w:eastAsia="宋体" w:cs="宋体"/>
          <w:bCs/>
          <w:color w:val="auto"/>
        </w:rPr>
      </w:pPr>
      <w:r>
        <w:rPr>
          <w:rFonts w:hint="eastAsia" w:ascii="宋体" w:hAnsi="宋体" w:eastAsia="宋体" w:cs="宋体"/>
          <w:b w:val="0"/>
          <w:bCs w:val="0"/>
          <w:color w:val="auto"/>
          <w:sz w:val="24"/>
          <w:szCs w:val="24"/>
        </w:rPr>
        <w:t>前期矿山产生废石渣土等直接排放于原露天采场东侧，依地形平铺于地表之上，堆积废石高度10-20m，坡角平均约50°，占地面积122242m</w:t>
      </w:r>
      <w:r>
        <w:rPr>
          <w:rFonts w:hint="eastAsia" w:ascii="宋体" w:hAnsi="宋体" w:eastAsia="宋体" w:cs="宋体"/>
          <w:b w:val="0"/>
          <w:bCs w:val="0"/>
          <w:color w:val="auto"/>
          <w:sz w:val="24"/>
          <w:szCs w:val="24"/>
          <w:vertAlign w:val="superscript"/>
        </w:rPr>
        <w:t>2</w:t>
      </w:r>
      <w:r>
        <w:rPr>
          <w:rFonts w:hint="eastAsia" w:ascii="宋体" w:hAnsi="宋体" w:eastAsia="宋体" w:cs="宋体"/>
          <w:b w:val="0"/>
          <w:bCs w:val="0"/>
          <w:color w:val="auto"/>
          <w:sz w:val="24"/>
          <w:szCs w:val="24"/>
        </w:rPr>
        <w:t>，经三角网法计算排放废石方量约1437566m</w:t>
      </w:r>
      <w:r>
        <w:rPr>
          <w:rFonts w:hint="eastAsia" w:ascii="宋体" w:hAnsi="宋体" w:eastAsia="宋体" w:cs="宋体"/>
          <w:b w:val="0"/>
          <w:bCs w:val="0"/>
          <w:color w:val="auto"/>
          <w:sz w:val="24"/>
          <w:szCs w:val="24"/>
          <w:vertAlign w:val="superscript"/>
        </w:rPr>
        <w:t>3</w:t>
      </w:r>
      <w:r>
        <w:rPr>
          <w:rFonts w:hint="eastAsia" w:ascii="宋体" w:hAnsi="宋体" w:eastAsia="宋体" w:cs="宋体"/>
          <w:b w:val="0"/>
          <w:bCs w:val="0"/>
          <w:color w:val="auto"/>
          <w:sz w:val="24"/>
          <w:szCs w:val="24"/>
        </w:rPr>
        <w:t>，废弃物的堆积</w:t>
      </w:r>
      <w:r>
        <w:rPr>
          <w:rFonts w:hint="eastAsia" w:ascii="宋体" w:hAnsi="宋体" w:eastAsia="宋体" w:cs="宋体"/>
          <w:b w:val="0"/>
          <w:bCs w:val="0"/>
          <w:color w:val="auto"/>
          <w:sz w:val="24"/>
        </w:rPr>
        <w:t>破坏了地形地貌景观的和谐度，现状评估原废石场对地形地貌景观影响程度严重。</w:t>
      </w:r>
      <w:r>
        <w:rPr>
          <w:rFonts w:hint="eastAsia" w:ascii="宋体" w:hAnsi="宋体" w:eastAsia="宋体" w:cs="宋体"/>
          <w:b w:val="0"/>
          <w:bCs w:val="0"/>
          <w:color w:val="auto"/>
        </w:rPr>
        <w:t>（照片4-</w:t>
      </w:r>
      <w:r>
        <w:rPr>
          <w:rFonts w:hint="eastAsia" w:ascii="宋体" w:hAnsi="宋体" w:eastAsia="宋体" w:cs="宋体"/>
          <w:b w:val="0"/>
          <w:bCs w:val="0"/>
          <w:color w:val="auto"/>
          <w:lang w:val="en-US" w:eastAsia="zh-CN"/>
        </w:rPr>
        <w:t>2</w:t>
      </w:r>
      <w:r>
        <w:rPr>
          <w:rFonts w:hint="eastAsia" w:ascii="宋体" w:hAnsi="宋体" w:eastAsia="宋体" w:cs="宋体"/>
          <w:b w:val="0"/>
          <w:bCs w:val="0"/>
          <w:color w:val="auto"/>
        </w:rPr>
        <w:t>）。</w:t>
      </w:r>
    </w:p>
    <w:p>
      <w:pPr>
        <w:autoSpaceDE w:val="0"/>
        <w:autoSpaceDN w:val="0"/>
        <w:ind w:firstLine="0" w:firstLineChars="0"/>
        <w:jc w:val="center"/>
        <w:rPr>
          <w:rFonts w:hint="eastAsia" w:ascii="宋体" w:hAnsi="宋体" w:eastAsia="宋体" w:cs="宋体"/>
          <w:color w:val="auto"/>
          <w:kern w:val="0"/>
        </w:rPr>
      </w:pPr>
      <w:r>
        <w:rPr>
          <w:rFonts w:hint="eastAsia" w:ascii="宋体" w:hAnsi="宋体" w:eastAsia="宋体" w:cs="宋体"/>
          <w:color w:val="auto"/>
        </w:rPr>
        <w:drawing>
          <wp:inline distT="0" distB="0" distL="114300" distR="114300">
            <wp:extent cx="2680335" cy="1330960"/>
            <wp:effectExtent l="0" t="0" r="5715" b="2540"/>
            <wp:docPr id="1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6"/>
                    <pic:cNvPicPr>
                      <a:picLocks noChangeAspect="1"/>
                    </pic:cNvPicPr>
                  </pic:nvPicPr>
                  <pic:blipFill>
                    <a:blip r:embed="rId19"/>
                    <a:stretch>
                      <a:fillRect/>
                    </a:stretch>
                  </pic:blipFill>
                  <pic:spPr>
                    <a:xfrm>
                      <a:off x="0" y="0"/>
                      <a:ext cx="2680335" cy="1330960"/>
                    </a:xfrm>
                    <a:prstGeom prst="rect">
                      <a:avLst/>
                    </a:prstGeom>
                    <a:noFill/>
                    <a:ln>
                      <a:noFill/>
                    </a:ln>
                  </pic:spPr>
                </pic:pic>
              </a:graphicData>
            </a:graphic>
          </wp:inline>
        </w:drawing>
      </w:r>
    </w:p>
    <w:p>
      <w:pPr>
        <w:ind w:left="0" w:leftChars="0" w:firstLine="0" w:firstLineChars="0"/>
        <w:contextualSpacing/>
        <w:jc w:val="center"/>
        <w:textAlignment w:val="center"/>
        <w:rPr>
          <w:rFonts w:hint="eastAsia" w:ascii="宋体" w:hAnsi="宋体" w:eastAsia="宋体" w:cs="宋体"/>
          <w:b w:val="0"/>
          <w:bCs/>
          <w:color w:val="auto"/>
          <w:spacing w:val="-4"/>
          <w:szCs w:val="24"/>
          <w:lang w:val="en-US" w:eastAsia="zh-CN"/>
        </w:rPr>
      </w:pPr>
      <w:r>
        <w:rPr>
          <w:rFonts w:hint="eastAsia" w:ascii="宋体" w:hAnsi="宋体" w:eastAsia="宋体" w:cs="宋体"/>
          <w:b w:val="0"/>
          <w:bCs/>
          <w:color w:val="auto"/>
          <w:spacing w:val="-4"/>
          <w:szCs w:val="24"/>
          <w:lang w:eastAsia="zh-CN"/>
        </w:rPr>
        <w:t>照片4-</w:t>
      </w:r>
      <w:r>
        <w:rPr>
          <w:rFonts w:hint="eastAsia" w:ascii="宋体" w:hAnsi="宋体" w:eastAsia="宋体" w:cs="宋体"/>
          <w:b w:val="0"/>
          <w:bCs/>
          <w:color w:val="auto"/>
          <w:spacing w:val="-4"/>
          <w:szCs w:val="24"/>
          <w:lang w:val="en-US" w:eastAsia="zh-CN"/>
        </w:rPr>
        <w:t>2</w:t>
      </w:r>
      <w:r>
        <w:rPr>
          <w:rFonts w:hint="eastAsia" w:ascii="宋体" w:hAnsi="宋体" w:eastAsia="宋体" w:cs="宋体"/>
          <w:b w:val="0"/>
          <w:bCs/>
          <w:color w:val="auto"/>
          <w:spacing w:val="-4"/>
          <w:szCs w:val="24"/>
          <w:lang w:eastAsia="zh-CN"/>
        </w:rPr>
        <w:t xml:space="preserve">  </w:t>
      </w:r>
      <w:r>
        <w:rPr>
          <w:rFonts w:hint="eastAsia" w:ascii="宋体" w:hAnsi="宋体" w:eastAsia="宋体" w:cs="宋体"/>
          <w:b w:val="0"/>
          <w:bCs/>
          <w:color w:val="auto"/>
          <w:spacing w:val="-4"/>
          <w:szCs w:val="24"/>
          <w:lang w:val="en-US" w:eastAsia="zh-CN"/>
        </w:rPr>
        <w:t>原废石场</w:t>
      </w:r>
    </w:p>
    <w:p>
      <w:pPr>
        <w:spacing w:after="0" w:line="360" w:lineRule="auto"/>
        <w:ind w:firstLine="480" w:firstLineChars="200"/>
        <w:contextualSpacing/>
        <w:jc w:val="both"/>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（3）渣堆2</w:t>
      </w:r>
    </w:p>
    <w:p>
      <w:pPr>
        <w:ind w:firstLine="464"/>
        <w:contextualSpacing/>
        <w:textAlignment w:val="center"/>
        <w:rPr>
          <w:rFonts w:hint="eastAsia" w:ascii="宋体" w:hAnsi="宋体" w:eastAsia="宋体" w:cs="宋体"/>
          <w:bCs/>
          <w:color w:val="auto"/>
          <w:spacing w:val="-4"/>
          <w:szCs w:val="24"/>
        </w:rPr>
      </w:pPr>
      <w:r>
        <w:rPr>
          <w:rFonts w:hint="eastAsia" w:ascii="宋体" w:hAnsi="宋体" w:eastAsia="宋体" w:cs="宋体"/>
          <w:b w:val="0"/>
          <w:bCs w:val="0"/>
          <w:color w:val="auto"/>
          <w:sz w:val="24"/>
          <w:szCs w:val="24"/>
          <w:lang w:eastAsia="zh-CN"/>
        </w:rPr>
        <w:t>渣堆</w:t>
      </w:r>
      <w:r>
        <w:rPr>
          <w:rFonts w:hint="eastAsia" w:ascii="宋体" w:hAnsi="宋体" w:eastAsia="宋体" w:cs="宋体"/>
          <w:b w:val="0"/>
          <w:bCs w:val="0"/>
          <w:color w:val="auto"/>
          <w:sz w:val="24"/>
          <w:szCs w:val="24"/>
          <w:lang w:val="en-US" w:eastAsia="zh-CN"/>
        </w:rPr>
        <w:t>2</w:t>
      </w:r>
      <w:r>
        <w:rPr>
          <w:rFonts w:hint="eastAsia" w:ascii="宋体" w:hAnsi="宋体" w:eastAsia="宋体" w:cs="宋体"/>
          <w:b w:val="0"/>
          <w:bCs w:val="0"/>
          <w:color w:val="auto"/>
          <w:sz w:val="24"/>
          <w:szCs w:val="24"/>
        </w:rPr>
        <w:t>位于</w:t>
      </w:r>
      <w:r>
        <w:rPr>
          <w:rFonts w:hint="eastAsia" w:ascii="宋体" w:hAnsi="宋体" w:eastAsia="宋体" w:cs="宋体"/>
          <w:b w:val="0"/>
          <w:bCs w:val="0"/>
          <w:color w:val="auto"/>
          <w:sz w:val="24"/>
          <w:szCs w:val="24"/>
          <w:lang w:eastAsia="zh-CN"/>
        </w:rPr>
        <w:t>原废石场南</w:t>
      </w:r>
      <w:r>
        <w:rPr>
          <w:rFonts w:hint="eastAsia" w:ascii="宋体" w:hAnsi="宋体" w:eastAsia="宋体" w:cs="宋体"/>
          <w:b w:val="0"/>
          <w:bCs w:val="0"/>
          <w:color w:val="auto"/>
          <w:sz w:val="24"/>
          <w:szCs w:val="24"/>
        </w:rPr>
        <w:t>侧，占地面积为</w:t>
      </w:r>
      <w:r>
        <w:rPr>
          <w:rFonts w:hint="eastAsia" w:ascii="宋体" w:hAnsi="宋体" w:eastAsia="宋体" w:cs="宋体"/>
          <w:b w:val="0"/>
          <w:bCs w:val="0"/>
          <w:color w:val="auto"/>
          <w:sz w:val="24"/>
          <w:szCs w:val="24"/>
          <w:lang w:val="en-US" w:eastAsia="zh-CN"/>
        </w:rPr>
        <w:t>1409</w:t>
      </w:r>
      <w:r>
        <w:rPr>
          <w:rFonts w:hint="eastAsia" w:ascii="宋体" w:hAnsi="宋体" w:eastAsia="宋体" w:cs="宋体"/>
          <w:b w:val="0"/>
          <w:bCs w:val="0"/>
          <w:color w:val="auto"/>
          <w:sz w:val="24"/>
          <w:szCs w:val="24"/>
        </w:rPr>
        <w:t>m</w:t>
      </w:r>
      <w:r>
        <w:rPr>
          <w:rFonts w:hint="eastAsia" w:ascii="宋体" w:hAnsi="宋体" w:eastAsia="宋体" w:cs="宋体"/>
          <w:b w:val="0"/>
          <w:bCs w:val="0"/>
          <w:color w:val="auto"/>
          <w:sz w:val="24"/>
          <w:szCs w:val="24"/>
          <w:vertAlign w:val="superscript"/>
        </w:rPr>
        <w:t>2</w:t>
      </w:r>
      <w:r>
        <w:rPr>
          <w:rFonts w:hint="eastAsia" w:ascii="宋体" w:hAnsi="宋体" w:eastAsia="宋体" w:cs="宋体"/>
          <w:b w:val="0"/>
          <w:bCs w:val="0"/>
          <w:color w:val="auto"/>
          <w:sz w:val="24"/>
          <w:szCs w:val="24"/>
        </w:rPr>
        <w:t>，堆</w:t>
      </w:r>
      <w:r>
        <w:rPr>
          <w:rFonts w:hint="eastAsia" w:ascii="宋体" w:hAnsi="宋体" w:eastAsia="宋体" w:cs="宋体"/>
          <w:b w:val="0"/>
          <w:bCs w:val="0"/>
          <w:color w:val="auto"/>
          <w:sz w:val="24"/>
          <w:szCs w:val="24"/>
          <w:lang w:eastAsia="zh-CN"/>
        </w:rPr>
        <w:t>放</w:t>
      </w:r>
      <w:r>
        <w:rPr>
          <w:rFonts w:hint="eastAsia" w:ascii="宋体" w:hAnsi="宋体" w:eastAsia="宋体" w:cs="宋体"/>
          <w:b w:val="0"/>
          <w:bCs w:val="0"/>
          <w:color w:val="auto"/>
          <w:sz w:val="24"/>
          <w:szCs w:val="24"/>
        </w:rPr>
        <w:t>高</w:t>
      </w:r>
      <w:r>
        <w:rPr>
          <w:rFonts w:hint="eastAsia" w:ascii="宋体" w:hAnsi="宋体" w:eastAsia="宋体" w:cs="宋体"/>
          <w:b w:val="0"/>
          <w:bCs w:val="0"/>
          <w:color w:val="auto"/>
          <w:sz w:val="24"/>
          <w:szCs w:val="24"/>
          <w:lang w:eastAsia="zh-CN"/>
        </w:rPr>
        <w:t>度</w:t>
      </w:r>
      <w:r>
        <w:rPr>
          <w:rFonts w:hint="eastAsia" w:ascii="宋体" w:hAnsi="宋体" w:eastAsia="宋体" w:cs="宋体"/>
          <w:b w:val="0"/>
          <w:bCs w:val="0"/>
          <w:color w:val="auto"/>
          <w:sz w:val="24"/>
          <w:szCs w:val="24"/>
          <w:lang w:val="en-US" w:eastAsia="zh-CN"/>
        </w:rPr>
        <w:t>1</w:t>
      </w:r>
      <w:r>
        <w:rPr>
          <w:rFonts w:hint="eastAsia" w:ascii="宋体" w:hAnsi="宋体" w:eastAsia="宋体" w:cs="宋体"/>
          <w:b w:val="0"/>
          <w:bCs w:val="0"/>
          <w:color w:val="auto"/>
          <w:sz w:val="24"/>
          <w:szCs w:val="24"/>
          <w:lang w:val="en-US" w:eastAsia="zh-CN" w:bidi="ar-SA"/>
        </w:rPr>
        <w:t>～</w:t>
      </w:r>
      <w:r>
        <w:rPr>
          <w:rFonts w:hint="eastAsia" w:ascii="宋体" w:hAnsi="宋体" w:eastAsia="宋体" w:cs="宋体"/>
          <w:b w:val="0"/>
          <w:bCs w:val="0"/>
          <w:color w:val="auto"/>
          <w:sz w:val="24"/>
          <w:szCs w:val="24"/>
          <w:lang w:val="en-US" w:eastAsia="zh-CN"/>
        </w:rPr>
        <w:t>5</w:t>
      </w:r>
      <w:r>
        <w:rPr>
          <w:rFonts w:hint="eastAsia" w:ascii="宋体" w:hAnsi="宋体" w:eastAsia="宋体" w:cs="宋体"/>
          <w:b w:val="0"/>
          <w:bCs w:val="0"/>
          <w:color w:val="auto"/>
          <w:sz w:val="24"/>
          <w:szCs w:val="24"/>
        </w:rPr>
        <w:t>m，边坡角20°</w:t>
      </w:r>
      <w:r>
        <w:rPr>
          <w:rFonts w:hint="eastAsia" w:ascii="宋体" w:hAnsi="宋体" w:eastAsia="宋体" w:cs="宋体"/>
          <w:b w:val="0"/>
          <w:bCs w:val="0"/>
          <w:color w:val="auto"/>
          <w:sz w:val="24"/>
          <w:szCs w:val="24"/>
          <w:lang w:val="en-US" w:eastAsia="zh-CN" w:bidi="ar-SA"/>
        </w:rPr>
        <w:t>～</w:t>
      </w:r>
      <w:r>
        <w:rPr>
          <w:rFonts w:hint="eastAsia" w:ascii="宋体" w:hAnsi="宋体" w:eastAsia="宋体" w:cs="宋体"/>
          <w:b w:val="0"/>
          <w:bCs w:val="0"/>
          <w:color w:val="auto"/>
          <w:sz w:val="24"/>
          <w:szCs w:val="24"/>
        </w:rPr>
        <w:t>35°，</w:t>
      </w:r>
      <w:r>
        <w:rPr>
          <w:rFonts w:hint="eastAsia" w:ascii="宋体" w:hAnsi="宋体" w:eastAsia="宋体" w:cs="宋体"/>
          <w:b w:val="0"/>
          <w:bCs w:val="0"/>
          <w:color w:val="auto"/>
          <w:sz w:val="24"/>
          <w:szCs w:val="24"/>
          <w:highlight w:val="none"/>
        </w:rPr>
        <w:t>现状堆放废石</w:t>
      </w:r>
      <w:r>
        <w:rPr>
          <w:rFonts w:hint="eastAsia" w:ascii="宋体" w:hAnsi="宋体" w:eastAsia="宋体" w:cs="宋体"/>
          <w:b w:val="0"/>
          <w:bCs w:val="0"/>
          <w:color w:val="auto"/>
          <w:sz w:val="24"/>
          <w:szCs w:val="24"/>
          <w:highlight w:val="none"/>
          <w:lang w:eastAsia="zh-CN"/>
        </w:rPr>
        <w:t>方</w:t>
      </w:r>
      <w:r>
        <w:rPr>
          <w:rFonts w:hint="eastAsia" w:ascii="宋体" w:hAnsi="宋体" w:eastAsia="宋体" w:cs="宋体"/>
          <w:b w:val="0"/>
          <w:bCs w:val="0"/>
          <w:color w:val="auto"/>
          <w:sz w:val="24"/>
          <w:szCs w:val="24"/>
          <w:highlight w:val="none"/>
        </w:rPr>
        <w:t>量</w:t>
      </w:r>
      <w:r>
        <w:rPr>
          <w:rFonts w:hint="eastAsia" w:ascii="宋体" w:hAnsi="宋体" w:eastAsia="宋体" w:cs="宋体"/>
          <w:b w:val="0"/>
          <w:bCs w:val="0"/>
          <w:color w:val="auto"/>
          <w:sz w:val="24"/>
          <w:szCs w:val="24"/>
          <w:highlight w:val="none"/>
          <w:lang w:val="en-US" w:eastAsia="zh-CN"/>
        </w:rPr>
        <w:t>4770</w:t>
      </w:r>
      <w:r>
        <w:rPr>
          <w:rFonts w:hint="eastAsia" w:ascii="宋体" w:hAnsi="宋体" w:eastAsia="宋体" w:cs="宋体"/>
          <w:b w:val="0"/>
          <w:bCs w:val="0"/>
          <w:color w:val="auto"/>
          <w:sz w:val="24"/>
          <w:szCs w:val="24"/>
          <w:highlight w:val="none"/>
        </w:rPr>
        <w:t>m</w:t>
      </w:r>
      <w:r>
        <w:rPr>
          <w:rFonts w:hint="eastAsia" w:ascii="宋体" w:hAnsi="宋体" w:eastAsia="宋体" w:cs="宋体"/>
          <w:b w:val="0"/>
          <w:bCs w:val="0"/>
          <w:color w:val="auto"/>
          <w:sz w:val="24"/>
          <w:szCs w:val="24"/>
          <w:highlight w:val="none"/>
          <w:vertAlign w:val="superscript"/>
        </w:rPr>
        <w:t>3</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color w:val="auto"/>
          <w:sz w:val="24"/>
          <w:szCs w:val="24"/>
        </w:rPr>
        <w:t>场地建设形成的人工堆积地貌，破坏了原有地形地貌景观（见照片</w:t>
      </w:r>
      <w:r>
        <w:rPr>
          <w:rFonts w:hint="eastAsia" w:ascii="宋体" w:hAnsi="宋体" w:eastAsia="宋体" w:cs="宋体"/>
          <w:b w:val="0"/>
          <w:bCs w:val="0"/>
          <w:color w:val="auto"/>
          <w:sz w:val="24"/>
          <w:szCs w:val="24"/>
          <w:lang w:val="en-US" w:eastAsia="zh-CN"/>
        </w:rPr>
        <w:t>4-3</w:t>
      </w:r>
      <w:r>
        <w:rPr>
          <w:rFonts w:hint="eastAsia" w:ascii="宋体" w:hAnsi="宋体" w:eastAsia="宋体" w:cs="宋体"/>
          <w:b w:val="0"/>
          <w:bCs w:val="0"/>
          <w:color w:val="auto"/>
          <w:sz w:val="24"/>
          <w:szCs w:val="24"/>
        </w:rPr>
        <w:t>）。</w:t>
      </w:r>
    </w:p>
    <w:p>
      <w:pPr>
        <w:ind w:left="0" w:leftChars="0" w:firstLine="0" w:firstLineChars="0"/>
        <w:contextualSpacing/>
        <w:jc w:val="center"/>
        <w:textAlignment w:val="center"/>
        <w:rPr>
          <w:rFonts w:hint="eastAsia" w:ascii="宋体" w:hAnsi="宋体" w:eastAsia="宋体" w:cs="宋体"/>
          <w:bCs/>
          <w:color w:val="auto"/>
          <w:spacing w:val="-4"/>
          <w:szCs w:val="24"/>
        </w:rPr>
      </w:pPr>
      <w:r>
        <w:rPr>
          <w:rFonts w:hint="eastAsia" w:ascii="宋体" w:hAnsi="宋体" w:eastAsia="宋体" w:cs="宋体"/>
          <w:color w:val="auto"/>
          <w:sz w:val="24"/>
        </w:rPr>
        <mc:AlternateContent>
          <mc:Choice Requires="wps">
            <w:drawing>
              <wp:anchor distT="0" distB="0" distL="114300" distR="114300" simplePos="0" relativeHeight="251660288" behindDoc="0" locked="0" layoutInCell="1" allowOverlap="1">
                <wp:simplePos x="0" y="0"/>
                <wp:positionH relativeFrom="column">
                  <wp:posOffset>2449195</wp:posOffset>
                </wp:positionH>
                <wp:positionV relativeFrom="paragraph">
                  <wp:posOffset>818515</wp:posOffset>
                </wp:positionV>
                <wp:extent cx="1153160" cy="643890"/>
                <wp:effectExtent l="4445" t="5080" r="15875" b="6350"/>
                <wp:wrapNone/>
                <wp:docPr id="1" name="矩形 4"/>
                <wp:cNvGraphicFramePr/>
                <a:graphic xmlns:a="http://schemas.openxmlformats.org/drawingml/2006/main">
                  <a:graphicData uri="http://schemas.microsoft.com/office/word/2010/wordprocessingShape">
                    <wps:wsp>
                      <wps:cNvSpPr/>
                      <wps:spPr>
                        <a:xfrm>
                          <a:off x="0" y="0"/>
                          <a:ext cx="1153160" cy="643890"/>
                        </a:xfrm>
                        <a:prstGeom prst="rect">
                          <a:avLst/>
                        </a:prstGeom>
                        <a:noFill/>
                        <a:ln w="9525" cap="flat" cmpd="sng">
                          <a:solidFill>
                            <a:srgbClr val="FF0000"/>
                          </a:solidFill>
                          <a:prstDash val="solid"/>
                          <a:miter/>
                          <a:headEnd type="none" w="med" len="med"/>
                          <a:tailEnd type="none" w="med" len="med"/>
                        </a:ln>
                      </wps:spPr>
                      <wps:bodyPr upright="1"/>
                    </wps:wsp>
                  </a:graphicData>
                </a:graphic>
              </wp:anchor>
            </w:drawing>
          </mc:Choice>
          <mc:Fallback>
            <w:pict>
              <v:rect id="矩形 4" o:spid="_x0000_s1026" o:spt="1" style="position:absolute;left:0pt;margin-left:192.85pt;margin-top:64.45pt;height:50.7pt;width:90.8pt;z-index:251660288;mso-width-relative:page;mso-height-relative:page;" filled="f" stroked="t" coordsize="21600,21600" o:gfxdata="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DvMisdwAAAALAQAADwAAAAAAAAABACAAAAAiAAAAZHJzL2Rvd25y&#10;ZXYueG1sUEsBAhQAFAAAAAgAh07iQH81yHn6AQAA9QMAAA4AAAAAAAAAAQAgAAAAKwEAAGRycy9l&#10;Mm9Eb2MueG1sUEsFBgAAAAAGAAYAWQEAAJcFAAAAAA==&#10;">
                <v:fill on="f" focussize="0,0"/>
                <v:stroke color="#FF0000" joinstyle="miter"/>
                <v:imagedata o:title=""/>
                <o:lock v:ext="edit" aspectratio="f"/>
              </v:rect>
            </w:pict>
          </mc:Fallback>
        </mc:AlternateContent>
      </w:r>
      <w:r>
        <w:rPr>
          <w:rFonts w:hint="eastAsia" w:ascii="宋体" w:hAnsi="宋体" w:eastAsia="宋体" w:cs="宋体"/>
          <w:color w:val="auto"/>
        </w:rPr>
        <w:drawing>
          <wp:inline distT="0" distB="0" distL="114300" distR="114300">
            <wp:extent cx="2853055" cy="1520825"/>
            <wp:effectExtent l="0" t="0" r="4445" b="3175"/>
            <wp:docPr id="1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8"/>
                    <pic:cNvPicPr>
                      <a:picLocks noChangeAspect="1"/>
                    </pic:cNvPicPr>
                  </pic:nvPicPr>
                  <pic:blipFill>
                    <a:blip r:embed="rId20"/>
                    <a:stretch>
                      <a:fillRect/>
                    </a:stretch>
                  </pic:blipFill>
                  <pic:spPr>
                    <a:xfrm>
                      <a:off x="0" y="0"/>
                      <a:ext cx="2853055" cy="1520825"/>
                    </a:xfrm>
                    <a:prstGeom prst="rect">
                      <a:avLst/>
                    </a:prstGeom>
                    <a:noFill/>
                    <a:ln>
                      <a:noFill/>
                    </a:ln>
                  </pic:spPr>
                </pic:pic>
              </a:graphicData>
            </a:graphic>
          </wp:inline>
        </w:drawing>
      </w:r>
    </w:p>
    <w:p>
      <w:pPr>
        <w:ind w:left="0" w:leftChars="0" w:firstLine="0" w:firstLineChars="0"/>
        <w:contextualSpacing/>
        <w:jc w:val="center"/>
        <w:textAlignment w:val="center"/>
        <w:rPr>
          <w:rFonts w:hint="eastAsia" w:ascii="宋体" w:hAnsi="宋体" w:eastAsia="宋体" w:cs="宋体"/>
          <w:b/>
          <w:bCs w:val="0"/>
          <w:color w:val="auto"/>
          <w:spacing w:val="-4"/>
          <w:szCs w:val="24"/>
          <w:lang w:val="en-US" w:eastAsia="zh-CN"/>
        </w:rPr>
      </w:pPr>
      <w:r>
        <w:rPr>
          <w:rFonts w:hint="eastAsia" w:ascii="宋体" w:hAnsi="宋体" w:eastAsia="宋体" w:cs="宋体"/>
          <w:b w:val="0"/>
          <w:bCs/>
          <w:color w:val="auto"/>
          <w:spacing w:val="-4"/>
          <w:szCs w:val="24"/>
          <w:lang w:eastAsia="zh-CN"/>
        </w:rPr>
        <w:t>照片</w:t>
      </w:r>
      <w:r>
        <w:rPr>
          <w:rFonts w:hint="eastAsia" w:ascii="宋体" w:hAnsi="宋体" w:eastAsia="宋体" w:cs="宋体"/>
          <w:b w:val="0"/>
          <w:bCs/>
          <w:color w:val="auto"/>
          <w:spacing w:val="-4"/>
          <w:szCs w:val="24"/>
          <w:lang w:val="en-US" w:eastAsia="zh-CN"/>
        </w:rPr>
        <w:t>4-3  渣堆2</w:t>
      </w:r>
    </w:p>
    <w:p>
      <w:pPr>
        <w:spacing w:after="0" w:line="360" w:lineRule="auto"/>
        <w:ind w:firstLine="480" w:firstLineChars="200"/>
        <w:contextualSpacing/>
        <w:jc w:val="both"/>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（4）渣堆3</w:t>
      </w:r>
    </w:p>
    <w:p>
      <w:pPr>
        <w:ind w:firstLine="464"/>
        <w:contextualSpacing/>
        <w:textAlignment w:val="center"/>
        <w:rPr>
          <w:rFonts w:hint="eastAsia" w:ascii="宋体" w:hAnsi="宋体" w:eastAsia="宋体" w:cs="宋体"/>
          <w:bCs/>
          <w:color w:val="auto"/>
          <w:spacing w:val="-4"/>
          <w:szCs w:val="24"/>
        </w:rPr>
      </w:pPr>
      <w:r>
        <w:rPr>
          <w:rFonts w:hint="eastAsia" w:ascii="宋体" w:hAnsi="宋体" w:eastAsia="宋体" w:cs="宋体"/>
          <w:b w:val="0"/>
          <w:bCs w:val="0"/>
          <w:color w:val="auto"/>
          <w:sz w:val="24"/>
          <w:szCs w:val="24"/>
          <w:lang w:eastAsia="zh-CN"/>
        </w:rPr>
        <w:t>渣堆</w:t>
      </w:r>
      <w:r>
        <w:rPr>
          <w:rFonts w:hint="eastAsia" w:ascii="宋体" w:hAnsi="宋体" w:eastAsia="宋体" w:cs="宋体"/>
          <w:b w:val="0"/>
          <w:bCs w:val="0"/>
          <w:color w:val="auto"/>
          <w:sz w:val="24"/>
          <w:szCs w:val="24"/>
          <w:lang w:val="en-US" w:eastAsia="zh-CN"/>
        </w:rPr>
        <w:t>3</w:t>
      </w:r>
      <w:r>
        <w:rPr>
          <w:rFonts w:hint="eastAsia" w:ascii="宋体" w:hAnsi="宋体" w:eastAsia="宋体" w:cs="宋体"/>
          <w:b w:val="0"/>
          <w:bCs w:val="0"/>
          <w:color w:val="auto"/>
          <w:sz w:val="24"/>
          <w:szCs w:val="24"/>
        </w:rPr>
        <w:t>位于</w:t>
      </w:r>
      <w:r>
        <w:rPr>
          <w:rFonts w:hint="eastAsia" w:ascii="宋体" w:hAnsi="宋体" w:eastAsia="宋体" w:cs="宋体"/>
          <w:b w:val="0"/>
          <w:bCs w:val="0"/>
          <w:color w:val="auto"/>
          <w:sz w:val="24"/>
          <w:szCs w:val="24"/>
          <w:lang w:eastAsia="zh-CN"/>
        </w:rPr>
        <w:t>原废石场南东</w:t>
      </w:r>
      <w:r>
        <w:rPr>
          <w:rFonts w:hint="eastAsia" w:ascii="宋体" w:hAnsi="宋体" w:eastAsia="宋体" w:cs="宋体"/>
          <w:b w:val="0"/>
          <w:bCs w:val="0"/>
          <w:color w:val="auto"/>
          <w:sz w:val="24"/>
          <w:szCs w:val="24"/>
        </w:rPr>
        <w:t>侧，占地面积为</w:t>
      </w:r>
      <w:r>
        <w:rPr>
          <w:rFonts w:hint="eastAsia" w:ascii="宋体" w:hAnsi="宋体" w:eastAsia="宋体" w:cs="宋体"/>
          <w:b w:val="0"/>
          <w:bCs w:val="0"/>
          <w:color w:val="auto"/>
          <w:sz w:val="24"/>
          <w:szCs w:val="24"/>
          <w:lang w:val="en-US" w:eastAsia="zh-CN"/>
        </w:rPr>
        <w:t>25409</w:t>
      </w:r>
      <w:r>
        <w:rPr>
          <w:rFonts w:hint="eastAsia" w:ascii="宋体" w:hAnsi="宋体" w:eastAsia="宋体" w:cs="宋体"/>
          <w:b w:val="0"/>
          <w:bCs w:val="0"/>
          <w:color w:val="auto"/>
          <w:sz w:val="24"/>
          <w:szCs w:val="24"/>
        </w:rPr>
        <w:t>m</w:t>
      </w:r>
      <w:r>
        <w:rPr>
          <w:rFonts w:hint="eastAsia" w:ascii="宋体" w:hAnsi="宋体" w:eastAsia="宋体" w:cs="宋体"/>
          <w:b w:val="0"/>
          <w:bCs w:val="0"/>
          <w:color w:val="auto"/>
          <w:sz w:val="24"/>
          <w:szCs w:val="24"/>
          <w:vertAlign w:val="superscript"/>
        </w:rPr>
        <w:t>2</w:t>
      </w:r>
      <w:r>
        <w:rPr>
          <w:rFonts w:hint="eastAsia" w:ascii="宋体" w:hAnsi="宋体" w:eastAsia="宋体" w:cs="宋体"/>
          <w:b w:val="0"/>
          <w:bCs w:val="0"/>
          <w:color w:val="auto"/>
          <w:sz w:val="24"/>
          <w:szCs w:val="24"/>
        </w:rPr>
        <w:t>，堆</w:t>
      </w:r>
      <w:r>
        <w:rPr>
          <w:rFonts w:hint="eastAsia" w:ascii="宋体" w:hAnsi="宋体" w:eastAsia="宋体" w:cs="宋体"/>
          <w:b w:val="0"/>
          <w:bCs w:val="0"/>
          <w:color w:val="auto"/>
          <w:sz w:val="24"/>
          <w:szCs w:val="24"/>
          <w:lang w:eastAsia="zh-CN"/>
        </w:rPr>
        <w:t>放</w:t>
      </w:r>
      <w:r>
        <w:rPr>
          <w:rFonts w:hint="eastAsia" w:ascii="宋体" w:hAnsi="宋体" w:eastAsia="宋体" w:cs="宋体"/>
          <w:b w:val="0"/>
          <w:bCs w:val="0"/>
          <w:color w:val="auto"/>
          <w:sz w:val="24"/>
          <w:szCs w:val="24"/>
        </w:rPr>
        <w:t>高</w:t>
      </w:r>
      <w:r>
        <w:rPr>
          <w:rFonts w:hint="eastAsia" w:ascii="宋体" w:hAnsi="宋体" w:eastAsia="宋体" w:cs="宋体"/>
          <w:b w:val="0"/>
          <w:bCs w:val="0"/>
          <w:color w:val="auto"/>
          <w:sz w:val="24"/>
          <w:szCs w:val="24"/>
          <w:lang w:eastAsia="zh-CN"/>
        </w:rPr>
        <w:t>度</w:t>
      </w:r>
      <w:r>
        <w:rPr>
          <w:rFonts w:hint="eastAsia" w:ascii="宋体" w:hAnsi="宋体" w:eastAsia="宋体" w:cs="宋体"/>
          <w:b w:val="0"/>
          <w:bCs w:val="0"/>
          <w:color w:val="auto"/>
          <w:sz w:val="24"/>
          <w:szCs w:val="24"/>
          <w:lang w:val="en-US" w:eastAsia="zh-CN"/>
        </w:rPr>
        <w:t>4</w:t>
      </w:r>
      <w:r>
        <w:rPr>
          <w:rFonts w:hint="eastAsia" w:ascii="宋体" w:hAnsi="宋体" w:eastAsia="宋体" w:cs="宋体"/>
          <w:b w:val="0"/>
          <w:bCs w:val="0"/>
          <w:color w:val="auto"/>
          <w:sz w:val="24"/>
          <w:szCs w:val="24"/>
          <w:lang w:val="en-US" w:eastAsia="zh-CN" w:bidi="ar-SA"/>
        </w:rPr>
        <w:t>～</w:t>
      </w:r>
      <w:r>
        <w:rPr>
          <w:rFonts w:hint="eastAsia" w:ascii="宋体" w:hAnsi="宋体" w:eastAsia="宋体" w:cs="宋体"/>
          <w:b w:val="0"/>
          <w:bCs w:val="0"/>
          <w:color w:val="auto"/>
          <w:sz w:val="24"/>
          <w:szCs w:val="24"/>
          <w:lang w:val="en-US" w:eastAsia="zh-CN"/>
        </w:rPr>
        <w:t>33</w:t>
      </w:r>
      <w:r>
        <w:rPr>
          <w:rFonts w:hint="eastAsia" w:ascii="宋体" w:hAnsi="宋体" w:eastAsia="宋体" w:cs="宋体"/>
          <w:b w:val="0"/>
          <w:bCs w:val="0"/>
          <w:color w:val="auto"/>
          <w:sz w:val="24"/>
          <w:szCs w:val="24"/>
        </w:rPr>
        <w:t>m，边坡角20°</w:t>
      </w:r>
      <w:r>
        <w:rPr>
          <w:rFonts w:hint="eastAsia" w:ascii="宋体" w:hAnsi="宋体" w:eastAsia="宋体" w:cs="宋体"/>
          <w:b w:val="0"/>
          <w:bCs w:val="0"/>
          <w:color w:val="auto"/>
          <w:sz w:val="24"/>
          <w:szCs w:val="24"/>
          <w:lang w:val="en-US" w:eastAsia="zh-CN" w:bidi="ar-SA"/>
        </w:rPr>
        <w:t>～</w:t>
      </w:r>
      <w:r>
        <w:rPr>
          <w:rFonts w:hint="eastAsia" w:ascii="宋体" w:hAnsi="宋体" w:eastAsia="宋体" w:cs="宋体"/>
          <w:b w:val="0"/>
          <w:bCs w:val="0"/>
          <w:color w:val="auto"/>
          <w:sz w:val="24"/>
          <w:szCs w:val="24"/>
        </w:rPr>
        <w:t>35°，</w:t>
      </w:r>
      <w:r>
        <w:rPr>
          <w:rFonts w:hint="eastAsia" w:ascii="宋体" w:hAnsi="宋体" w:eastAsia="宋体" w:cs="宋体"/>
          <w:b w:val="0"/>
          <w:bCs w:val="0"/>
          <w:color w:val="auto"/>
          <w:sz w:val="24"/>
          <w:szCs w:val="24"/>
          <w:highlight w:val="none"/>
        </w:rPr>
        <w:t>现状堆放废石</w:t>
      </w:r>
      <w:r>
        <w:rPr>
          <w:rFonts w:hint="eastAsia" w:ascii="宋体" w:hAnsi="宋体" w:eastAsia="宋体" w:cs="宋体"/>
          <w:b w:val="0"/>
          <w:bCs w:val="0"/>
          <w:color w:val="auto"/>
          <w:sz w:val="24"/>
          <w:szCs w:val="24"/>
          <w:highlight w:val="none"/>
          <w:lang w:eastAsia="zh-CN"/>
        </w:rPr>
        <w:t>方</w:t>
      </w:r>
      <w:r>
        <w:rPr>
          <w:rFonts w:hint="eastAsia" w:ascii="宋体" w:hAnsi="宋体" w:eastAsia="宋体" w:cs="宋体"/>
          <w:b w:val="0"/>
          <w:bCs w:val="0"/>
          <w:color w:val="auto"/>
          <w:sz w:val="24"/>
          <w:szCs w:val="24"/>
          <w:highlight w:val="none"/>
        </w:rPr>
        <w:t>量</w:t>
      </w:r>
      <w:r>
        <w:rPr>
          <w:rFonts w:hint="eastAsia" w:ascii="宋体" w:hAnsi="宋体" w:eastAsia="宋体" w:cs="宋体"/>
          <w:b w:val="0"/>
          <w:bCs w:val="0"/>
          <w:color w:val="auto"/>
          <w:sz w:val="24"/>
          <w:szCs w:val="24"/>
          <w:highlight w:val="none"/>
          <w:lang w:val="en-US" w:eastAsia="zh-CN"/>
        </w:rPr>
        <w:t>39400</w:t>
      </w:r>
      <w:r>
        <w:rPr>
          <w:rFonts w:hint="eastAsia" w:ascii="宋体" w:hAnsi="宋体" w:eastAsia="宋体" w:cs="宋体"/>
          <w:b w:val="0"/>
          <w:bCs w:val="0"/>
          <w:color w:val="auto"/>
          <w:sz w:val="24"/>
          <w:szCs w:val="24"/>
          <w:highlight w:val="none"/>
        </w:rPr>
        <w:t>m</w:t>
      </w:r>
      <w:r>
        <w:rPr>
          <w:rFonts w:hint="eastAsia" w:ascii="宋体" w:hAnsi="宋体" w:eastAsia="宋体" w:cs="宋体"/>
          <w:b w:val="0"/>
          <w:bCs w:val="0"/>
          <w:color w:val="auto"/>
          <w:sz w:val="24"/>
          <w:szCs w:val="24"/>
          <w:highlight w:val="none"/>
          <w:vertAlign w:val="superscript"/>
        </w:rPr>
        <w:t>3</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color w:val="auto"/>
          <w:sz w:val="24"/>
          <w:szCs w:val="24"/>
          <w:highlight w:val="none"/>
          <w:lang w:eastAsia="zh-CN"/>
        </w:rPr>
        <w:t>现状边坡已进行治理，</w:t>
      </w:r>
      <w:r>
        <w:rPr>
          <w:rFonts w:hint="eastAsia" w:ascii="宋体" w:hAnsi="宋体" w:eastAsia="宋体" w:cs="宋体"/>
          <w:b w:val="0"/>
          <w:bCs w:val="0"/>
          <w:color w:val="auto"/>
          <w:sz w:val="24"/>
          <w:szCs w:val="24"/>
        </w:rPr>
        <w:t>场地建设形成的人工堆积地貌，破坏了原有地形地貌景观（见照片</w:t>
      </w:r>
      <w:r>
        <w:rPr>
          <w:rFonts w:hint="eastAsia" w:ascii="宋体" w:hAnsi="宋体" w:eastAsia="宋体" w:cs="宋体"/>
          <w:b w:val="0"/>
          <w:bCs w:val="0"/>
          <w:color w:val="auto"/>
          <w:sz w:val="24"/>
          <w:szCs w:val="24"/>
          <w:lang w:val="en-US" w:eastAsia="zh-CN"/>
        </w:rPr>
        <w:t>4-4</w:t>
      </w:r>
      <w:r>
        <w:rPr>
          <w:rFonts w:hint="eastAsia" w:ascii="宋体" w:hAnsi="宋体" w:eastAsia="宋体" w:cs="宋体"/>
          <w:b w:val="0"/>
          <w:bCs w:val="0"/>
          <w:color w:val="auto"/>
          <w:sz w:val="24"/>
          <w:szCs w:val="24"/>
        </w:rPr>
        <w:t>）。</w:t>
      </w:r>
    </w:p>
    <w:p>
      <w:pPr>
        <w:ind w:left="0" w:leftChars="0" w:firstLine="0" w:firstLineChars="0"/>
        <w:contextualSpacing/>
        <w:jc w:val="center"/>
        <w:textAlignment w:val="center"/>
        <w:rPr>
          <w:rFonts w:hint="eastAsia" w:ascii="宋体" w:hAnsi="宋体" w:eastAsia="宋体" w:cs="宋体"/>
          <w:bCs/>
          <w:color w:val="auto"/>
          <w:spacing w:val="-4"/>
          <w:szCs w:val="24"/>
        </w:rPr>
      </w:pPr>
      <w:r>
        <w:rPr>
          <w:rFonts w:hint="eastAsia" w:ascii="宋体" w:hAnsi="宋体" w:eastAsia="宋体" w:cs="宋体"/>
          <w:color w:val="auto"/>
        </w:rPr>
        <w:drawing>
          <wp:inline distT="0" distB="0" distL="114300" distR="114300">
            <wp:extent cx="2687955" cy="2322830"/>
            <wp:effectExtent l="0" t="0" r="17145" b="1270"/>
            <wp:docPr id="2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9"/>
                    <pic:cNvPicPr>
                      <a:picLocks noChangeAspect="1"/>
                    </pic:cNvPicPr>
                  </pic:nvPicPr>
                  <pic:blipFill>
                    <a:blip r:embed="rId21"/>
                    <a:stretch>
                      <a:fillRect/>
                    </a:stretch>
                  </pic:blipFill>
                  <pic:spPr>
                    <a:xfrm>
                      <a:off x="0" y="0"/>
                      <a:ext cx="2687955" cy="2322830"/>
                    </a:xfrm>
                    <a:prstGeom prst="rect">
                      <a:avLst/>
                    </a:prstGeom>
                    <a:noFill/>
                    <a:ln>
                      <a:noFill/>
                    </a:ln>
                  </pic:spPr>
                </pic:pic>
              </a:graphicData>
            </a:graphic>
          </wp:inline>
        </w:drawing>
      </w:r>
    </w:p>
    <w:p>
      <w:pPr>
        <w:ind w:left="0" w:leftChars="0" w:firstLine="0" w:firstLineChars="0"/>
        <w:contextualSpacing/>
        <w:jc w:val="center"/>
        <w:textAlignment w:val="center"/>
        <w:rPr>
          <w:rFonts w:hint="eastAsia" w:ascii="宋体" w:hAnsi="宋体" w:eastAsia="宋体" w:cs="宋体"/>
          <w:b w:val="0"/>
          <w:bCs/>
          <w:color w:val="auto"/>
          <w:spacing w:val="-4"/>
          <w:szCs w:val="24"/>
          <w:lang w:val="en-US" w:eastAsia="zh-CN"/>
        </w:rPr>
      </w:pPr>
      <w:r>
        <w:rPr>
          <w:rFonts w:hint="eastAsia" w:ascii="宋体" w:hAnsi="宋体" w:eastAsia="宋体" w:cs="宋体"/>
          <w:b w:val="0"/>
          <w:bCs/>
          <w:color w:val="auto"/>
          <w:spacing w:val="-4"/>
          <w:szCs w:val="24"/>
          <w:lang w:eastAsia="zh-CN"/>
        </w:rPr>
        <w:t>照片</w:t>
      </w:r>
      <w:r>
        <w:rPr>
          <w:rFonts w:hint="eastAsia" w:ascii="宋体" w:hAnsi="宋体" w:eastAsia="宋体" w:cs="宋体"/>
          <w:b w:val="0"/>
          <w:bCs/>
          <w:color w:val="auto"/>
          <w:spacing w:val="-4"/>
          <w:szCs w:val="24"/>
          <w:lang w:val="en-US" w:eastAsia="zh-CN"/>
        </w:rPr>
        <w:t>4-4  渣堆3</w:t>
      </w:r>
    </w:p>
    <w:p>
      <w:pPr>
        <w:ind w:firstLine="464"/>
        <w:contextualSpacing/>
        <w:textAlignment w:val="center"/>
        <w:rPr>
          <w:rFonts w:hint="eastAsia" w:ascii="宋体" w:hAnsi="宋体" w:eastAsia="宋体" w:cs="宋体"/>
          <w:b w:val="0"/>
          <w:bCs/>
          <w:color w:val="auto"/>
        </w:rPr>
      </w:pPr>
      <w:r>
        <w:rPr>
          <w:rFonts w:hint="eastAsia" w:ascii="宋体" w:hAnsi="宋体" w:eastAsia="宋体" w:cs="宋体"/>
          <w:b w:val="0"/>
          <w:bCs/>
          <w:color w:val="auto"/>
          <w:spacing w:val="-4"/>
          <w:szCs w:val="24"/>
          <w:lang w:val="en-US" w:eastAsia="zh-CN"/>
        </w:rPr>
        <w:t>（5）</w:t>
      </w:r>
      <w:r>
        <w:rPr>
          <w:rFonts w:hint="eastAsia" w:ascii="宋体" w:hAnsi="宋体" w:eastAsia="宋体" w:cs="宋体"/>
          <w:b w:val="0"/>
          <w:bCs/>
          <w:color w:val="auto"/>
          <w:spacing w:val="-4"/>
          <w:szCs w:val="24"/>
        </w:rPr>
        <w:t>矿区道路</w:t>
      </w:r>
    </w:p>
    <w:p>
      <w:pPr>
        <w:ind w:firstLine="480"/>
        <w:rPr>
          <w:rFonts w:hint="eastAsia" w:ascii="宋体" w:hAnsi="宋体" w:eastAsia="宋体" w:cs="宋体"/>
          <w:bCs/>
          <w:color w:val="auto"/>
        </w:rPr>
      </w:pPr>
      <w:r>
        <w:rPr>
          <w:rFonts w:hint="eastAsia" w:ascii="宋体" w:hAnsi="宋体" w:eastAsia="宋体" w:cs="宋体"/>
          <w:b w:val="0"/>
          <w:bCs/>
          <w:color w:val="auto"/>
        </w:rPr>
        <w:t>矿区道路连接矿区各个场地和工程单元，矿山建设土路长约380m，宽3-5m，占地面积2286m</w:t>
      </w:r>
      <w:r>
        <w:rPr>
          <w:rFonts w:hint="eastAsia" w:ascii="宋体" w:hAnsi="宋体" w:eastAsia="宋体" w:cs="宋体"/>
          <w:b w:val="0"/>
          <w:bCs/>
          <w:color w:val="auto"/>
          <w:vertAlign w:val="superscript"/>
        </w:rPr>
        <w:t>2</w:t>
      </w:r>
      <w:r>
        <w:rPr>
          <w:rFonts w:hint="eastAsia" w:ascii="宋体" w:hAnsi="宋体" w:eastAsia="宋体" w:cs="宋体"/>
          <w:b w:val="0"/>
          <w:bCs/>
          <w:color w:val="auto"/>
        </w:rPr>
        <w:t>，根据现场调查，</w:t>
      </w:r>
      <w:r>
        <w:rPr>
          <w:rFonts w:hint="eastAsia" w:ascii="宋体" w:hAnsi="宋体" w:eastAsia="宋体" w:cs="宋体"/>
          <w:b w:val="0"/>
          <w:bCs/>
          <w:color w:val="auto"/>
          <w:lang w:eastAsia="zh-CN"/>
        </w:rPr>
        <w:t>破坏了原有的地形地貌</w:t>
      </w:r>
      <w:r>
        <w:rPr>
          <w:rFonts w:hint="eastAsia" w:ascii="宋体" w:hAnsi="宋体" w:eastAsia="宋体" w:cs="宋体"/>
          <w:b w:val="0"/>
          <w:bCs/>
          <w:color w:val="auto"/>
        </w:rPr>
        <w:t>（照片4-</w:t>
      </w:r>
      <w:r>
        <w:rPr>
          <w:rFonts w:hint="eastAsia" w:ascii="宋体" w:hAnsi="宋体" w:eastAsia="宋体" w:cs="宋体"/>
          <w:b w:val="0"/>
          <w:bCs/>
          <w:color w:val="auto"/>
          <w:lang w:val="en-US" w:eastAsia="zh-CN"/>
        </w:rPr>
        <w:t>5</w:t>
      </w:r>
      <w:r>
        <w:rPr>
          <w:rFonts w:hint="eastAsia" w:ascii="宋体" w:hAnsi="宋体" w:eastAsia="宋体" w:cs="宋体"/>
          <w:b w:val="0"/>
          <w:bCs/>
          <w:color w:val="auto"/>
        </w:rPr>
        <w:t>）。</w:t>
      </w:r>
    </w:p>
    <w:p>
      <w:pPr>
        <w:autoSpaceDE w:val="0"/>
        <w:autoSpaceDN w:val="0"/>
        <w:ind w:firstLine="0" w:firstLineChars="0"/>
        <w:jc w:val="center"/>
        <w:rPr>
          <w:rFonts w:hint="eastAsia" w:ascii="宋体" w:hAnsi="宋体" w:eastAsia="宋体" w:cs="宋体"/>
          <w:color w:val="auto"/>
          <w:kern w:val="0"/>
        </w:rPr>
      </w:pPr>
      <w:r>
        <w:rPr>
          <w:rFonts w:hint="eastAsia" w:ascii="宋体" w:hAnsi="宋体" w:eastAsia="宋体" w:cs="宋体"/>
          <w:color w:val="auto"/>
          <w:kern w:val="0"/>
        </w:rPr>
        <w:drawing>
          <wp:inline distT="0" distB="0" distL="0" distR="0">
            <wp:extent cx="2620645" cy="1964690"/>
            <wp:effectExtent l="0" t="0" r="8255" b="16510"/>
            <wp:docPr id="9" name="图片 2" descr="C:\Users\Administrator\AppData\Local\Temp\WeChat Files\43922a1c4b9d085cc5b895d9eac69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descr="C:\Users\Administrator\AppData\Local\Temp\WeChat Files\43922a1c4b9d085cc5b895d9eac69ec.jpg"/>
                    <pic:cNvPicPr>
                      <a:picLocks noChangeAspect="1" noChangeArrowheads="1"/>
                    </pic:cNvPicPr>
                  </pic:nvPicPr>
                  <pic:blipFill>
                    <a:blip r:embed="rId22" cstate="print"/>
                    <a:srcRect/>
                    <a:stretch>
                      <a:fillRect/>
                    </a:stretch>
                  </pic:blipFill>
                  <pic:spPr>
                    <a:xfrm>
                      <a:off x="0" y="0"/>
                      <a:ext cx="2620645" cy="1964690"/>
                    </a:xfrm>
                    <a:prstGeom prst="rect">
                      <a:avLst/>
                    </a:prstGeom>
                    <a:noFill/>
                    <a:ln w="9525">
                      <a:noFill/>
                      <a:miter lim="800000"/>
                      <a:headEnd/>
                      <a:tailEnd/>
                    </a:ln>
                  </pic:spPr>
                </pic:pic>
              </a:graphicData>
            </a:graphic>
          </wp:inline>
        </w:drawing>
      </w:r>
    </w:p>
    <w:p>
      <w:pPr>
        <w:ind w:left="0" w:leftChars="0" w:firstLine="0" w:firstLineChars="0"/>
        <w:contextualSpacing/>
        <w:jc w:val="center"/>
        <w:textAlignment w:val="center"/>
        <w:rPr>
          <w:rFonts w:hint="eastAsia" w:ascii="宋体" w:hAnsi="宋体" w:eastAsia="宋体" w:cs="宋体"/>
          <w:b w:val="0"/>
          <w:bCs/>
          <w:color w:val="auto"/>
          <w:spacing w:val="-4"/>
          <w:szCs w:val="24"/>
          <w:lang w:eastAsia="zh-CN"/>
        </w:rPr>
      </w:pPr>
      <w:r>
        <w:rPr>
          <w:rFonts w:hint="eastAsia" w:ascii="宋体" w:hAnsi="宋体" w:eastAsia="宋体" w:cs="宋体"/>
          <w:b w:val="0"/>
          <w:bCs/>
          <w:color w:val="auto"/>
          <w:spacing w:val="-4"/>
          <w:szCs w:val="24"/>
          <w:lang w:eastAsia="zh-CN"/>
        </w:rPr>
        <w:t>照片4-</w:t>
      </w:r>
      <w:r>
        <w:rPr>
          <w:rFonts w:hint="eastAsia" w:ascii="宋体" w:hAnsi="宋体" w:eastAsia="宋体" w:cs="宋体"/>
          <w:b w:val="0"/>
          <w:bCs/>
          <w:color w:val="auto"/>
          <w:spacing w:val="-4"/>
          <w:szCs w:val="24"/>
          <w:lang w:val="en-US" w:eastAsia="zh-CN"/>
        </w:rPr>
        <w:t>5</w:t>
      </w:r>
      <w:r>
        <w:rPr>
          <w:rFonts w:hint="eastAsia" w:ascii="宋体" w:hAnsi="宋体" w:eastAsia="宋体" w:cs="宋体"/>
          <w:b w:val="0"/>
          <w:bCs/>
          <w:color w:val="auto"/>
          <w:spacing w:val="-4"/>
          <w:szCs w:val="24"/>
          <w:lang w:eastAsia="zh-CN"/>
        </w:rPr>
        <w:t xml:space="preserve">  矿区道路</w:t>
      </w:r>
    </w:p>
    <w:p>
      <w:pPr>
        <w:keepNext w:val="0"/>
        <w:keepLines w:val="0"/>
        <w:pageBreakBefore w:val="0"/>
        <w:widowControl w:val="0"/>
        <w:kinsoku/>
        <w:wordWrap/>
        <w:overflowPunct/>
        <w:topLinePunct w:val="0"/>
        <w:autoSpaceDE/>
        <w:autoSpaceDN/>
        <w:bidi w:val="0"/>
        <w:adjustRightInd w:val="0"/>
        <w:snapToGrid w:val="0"/>
        <w:ind w:firstLine="464"/>
        <w:contextualSpacing/>
        <w:jc w:val="left"/>
        <w:textAlignment w:val="center"/>
        <w:rPr>
          <w:rFonts w:hint="eastAsia" w:ascii="宋体" w:hAnsi="宋体" w:eastAsia="宋体" w:cs="宋体"/>
          <w:b w:val="0"/>
          <w:bCs/>
          <w:color w:val="auto"/>
          <w:spacing w:val="-4"/>
          <w:szCs w:val="24"/>
        </w:rPr>
      </w:pPr>
      <w:r>
        <w:rPr>
          <w:rFonts w:hint="eastAsia" w:ascii="宋体" w:hAnsi="宋体" w:eastAsia="宋体" w:cs="宋体"/>
          <w:b w:val="0"/>
          <w:bCs/>
          <w:color w:val="auto"/>
          <w:spacing w:val="-4"/>
          <w:szCs w:val="24"/>
          <w:lang w:val="en-US" w:eastAsia="zh-CN"/>
        </w:rPr>
        <w:t>（6）</w:t>
      </w:r>
      <w:r>
        <w:rPr>
          <w:rFonts w:hint="eastAsia" w:ascii="宋体" w:hAnsi="宋体" w:eastAsia="宋体" w:cs="宋体"/>
          <w:b w:val="0"/>
          <w:bCs/>
          <w:color w:val="auto"/>
          <w:spacing w:val="-4"/>
          <w:szCs w:val="24"/>
        </w:rPr>
        <w:t>工业场地</w:t>
      </w:r>
    </w:p>
    <w:p>
      <w:pPr>
        <w:keepNext w:val="0"/>
        <w:keepLines w:val="0"/>
        <w:pageBreakBefore w:val="0"/>
        <w:widowControl w:val="0"/>
        <w:kinsoku/>
        <w:wordWrap/>
        <w:overflowPunct/>
        <w:topLinePunct w:val="0"/>
        <w:autoSpaceDE/>
        <w:autoSpaceDN/>
        <w:bidi w:val="0"/>
        <w:adjustRightInd w:val="0"/>
        <w:snapToGrid w:val="0"/>
        <w:ind w:firstLine="464"/>
        <w:contextualSpacing/>
        <w:jc w:val="left"/>
        <w:textAlignment w:val="center"/>
        <w:rPr>
          <w:rFonts w:hint="eastAsia" w:ascii="宋体" w:hAnsi="宋体" w:eastAsia="宋体" w:cs="宋体"/>
          <w:color w:val="auto"/>
        </w:rPr>
      </w:pPr>
      <w:r>
        <w:rPr>
          <w:rFonts w:hint="eastAsia" w:ascii="宋体" w:hAnsi="宋体" w:eastAsia="宋体" w:cs="宋体"/>
          <w:b w:val="0"/>
          <w:bCs/>
          <w:color w:val="auto"/>
          <w:spacing w:val="-4"/>
          <w:szCs w:val="24"/>
        </w:rPr>
        <w:t>位于矿区外南侧350m处，</w:t>
      </w:r>
      <w:r>
        <w:rPr>
          <w:rFonts w:hint="eastAsia" w:ascii="宋体" w:hAnsi="宋体" w:eastAsia="宋体" w:cs="宋体"/>
          <w:b w:val="0"/>
          <w:bCs/>
          <w:color w:val="auto"/>
        </w:rPr>
        <w:t>内设有修理车间、临时休息间及库房等</w:t>
      </w:r>
      <w:r>
        <w:rPr>
          <w:rFonts w:hint="eastAsia" w:ascii="宋体" w:hAnsi="宋体" w:eastAsia="宋体" w:cs="宋体"/>
          <w:b w:val="0"/>
          <w:bCs/>
          <w:color w:val="auto"/>
          <w:szCs w:val="24"/>
        </w:rPr>
        <w:t>，</w:t>
      </w:r>
      <w:r>
        <w:rPr>
          <w:rFonts w:hint="eastAsia" w:ascii="宋体" w:hAnsi="宋体" w:eastAsia="宋体" w:cs="宋体"/>
          <w:b w:val="0"/>
          <w:bCs/>
          <w:color w:val="auto"/>
          <w:spacing w:val="-4"/>
          <w:szCs w:val="24"/>
        </w:rPr>
        <w:t>面积9878m</w:t>
      </w:r>
      <w:r>
        <w:rPr>
          <w:rFonts w:hint="eastAsia" w:ascii="宋体" w:hAnsi="宋体" w:eastAsia="宋体" w:cs="宋体"/>
          <w:b w:val="0"/>
          <w:bCs/>
          <w:color w:val="auto"/>
          <w:spacing w:val="-4"/>
          <w:szCs w:val="24"/>
          <w:vertAlign w:val="superscript"/>
        </w:rPr>
        <w:t>2</w:t>
      </w:r>
      <w:r>
        <w:rPr>
          <w:rFonts w:hint="eastAsia" w:ascii="宋体" w:hAnsi="宋体" w:eastAsia="宋体" w:cs="宋体"/>
          <w:b w:val="0"/>
          <w:bCs/>
          <w:color w:val="auto"/>
          <w:szCs w:val="24"/>
        </w:rPr>
        <w:t>（照片4-</w:t>
      </w:r>
      <w:r>
        <w:rPr>
          <w:rFonts w:hint="eastAsia" w:ascii="宋体" w:hAnsi="宋体" w:eastAsia="宋体" w:cs="宋体"/>
          <w:b w:val="0"/>
          <w:bCs/>
          <w:color w:val="auto"/>
          <w:szCs w:val="24"/>
          <w:lang w:val="en-US" w:eastAsia="zh-CN"/>
        </w:rPr>
        <w:t>6</w:t>
      </w:r>
      <w:r>
        <w:rPr>
          <w:rFonts w:hint="eastAsia" w:ascii="宋体" w:hAnsi="宋体" w:eastAsia="宋体" w:cs="宋体"/>
          <w:b w:val="0"/>
          <w:bCs/>
          <w:color w:val="auto"/>
          <w:szCs w:val="24"/>
        </w:rPr>
        <w:t>）</w:t>
      </w:r>
      <w:r>
        <w:rPr>
          <w:rFonts w:hint="eastAsia" w:ascii="宋体" w:hAnsi="宋体" w:eastAsia="宋体" w:cs="宋体"/>
          <w:b w:val="0"/>
          <w:bCs/>
          <w:color w:val="auto"/>
          <w:spacing w:val="-4"/>
          <w:szCs w:val="24"/>
        </w:rPr>
        <w:t>，建筑物均为砖混结构、彩钢瓦结构，高3m，建设场地平缓无高陡切坡。</w:t>
      </w:r>
      <w:r>
        <w:rPr>
          <w:rFonts w:hint="eastAsia" w:ascii="宋体" w:hAnsi="宋体" w:eastAsia="宋体" w:cs="宋体"/>
          <w:b w:val="0"/>
          <w:bCs/>
          <w:color w:val="auto"/>
        </w:rPr>
        <w:t>工业场地建设地段地形平缓，</w:t>
      </w:r>
      <w:r>
        <w:rPr>
          <w:rFonts w:hint="eastAsia" w:ascii="宋体" w:hAnsi="宋体" w:eastAsia="宋体" w:cs="宋体"/>
          <w:b w:val="0"/>
          <w:bCs/>
          <w:color w:val="auto"/>
          <w:lang w:eastAsia="zh-CN"/>
        </w:rPr>
        <w:t>破坏了原有的地形地貌</w:t>
      </w:r>
      <w:r>
        <w:rPr>
          <w:rFonts w:hint="eastAsia" w:ascii="宋体" w:hAnsi="宋体" w:eastAsia="宋体" w:cs="宋体"/>
          <w:b w:val="0"/>
          <w:bCs/>
          <w:color w:val="auto"/>
        </w:rPr>
        <w:t>。</w:t>
      </w:r>
    </w:p>
    <w:p>
      <w:pPr>
        <w:ind w:left="0" w:leftChars="0" w:firstLine="0" w:firstLineChars="0"/>
        <w:jc w:val="center"/>
        <w:rPr>
          <w:rFonts w:hint="eastAsia" w:ascii="宋体" w:hAnsi="宋体" w:eastAsia="宋体" w:cs="宋体"/>
          <w:color w:val="auto"/>
          <w:szCs w:val="24"/>
        </w:rPr>
      </w:pPr>
      <w:r>
        <w:rPr>
          <w:rFonts w:hint="eastAsia" w:ascii="宋体" w:hAnsi="宋体" w:eastAsia="宋体" w:cs="宋体"/>
          <w:color w:val="auto"/>
        </w:rPr>
        <w:drawing>
          <wp:inline distT="0" distB="0" distL="114300" distR="114300">
            <wp:extent cx="2633980" cy="2244725"/>
            <wp:effectExtent l="0" t="0" r="13970" b="3175"/>
            <wp:docPr id="2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0"/>
                    <pic:cNvPicPr>
                      <a:picLocks noChangeAspect="1"/>
                    </pic:cNvPicPr>
                  </pic:nvPicPr>
                  <pic:blipFill>
                    <a:blip r:embed="rId23"/>
                    <a:stretch>
                      <a:fillRect/>
                    </a:stretch>
                  </pic:blipFill>
                  <pic:spPr>
                    <a:xfrm>
                      <a:off x="0" y="0"/>
                      <a:ext cx="2633980" cy="2244725"/>
                    </a:xfrm>
                    <a:prstGeom prst="rect">
                      <a:avLst/>
                    </a:prstGeom>
                    <a:noFill/>
                    <a:ln>
                      <a:noFill/>
                    </a:ln>
                  </pic:spPr>
                </pic:pic>
              </a:graphicData>
            </a:graphic>
          </wp:inline>
        </w:drawing>
      </w:r>
    </w:p>
    <w:p>
      <w:pPr>
        <w:autoSpaceDE w:val="0"/>
        <w:autoSpaceDN w:val="0"/>
        <w:ind w:firstLine="482"/>
        <w:jc w:val="center"/>
        <w:rPr>
          <w:rFonts w:hint="eastAsia" w:ascii="宋体" w:hAnsi="宋体" w:eastAsia="宋体" w:cs="宋体"/>
          <w:b/>
          <w:bCs/>
          <w:color w:val="auto"/>
          <w:szCs w:val="24"/>
        </w:rPr>
      </w:pPr>
      <w:r>
        <w:rPr>
          <w:rFonts w:hint="eastAsia" w:ascii="宋体" w:hAnsi="宋体" w:eastAsia="宋体" w:cs="宋体"/>
          <w:b/>
          <w:bCs/>
          <w:color w:val="auto"/>
          <w:szCs w:val="24"/>
        </w:rPr>
        <w:t>照片4-5  工业场地</w:t>
      </w:r>
    </w:p>
    <w:p>
      <w:pPr>
        <w:ind w:firstLine="480"/>
        <w:rPr>
          <w:rFonts w:hint="eastAsia" w:ascii="宋体" w:hAnsi="宋体" w:eastAsia="宋体" w:cs="宋体"/>
          <w:color w:val="auto"/>
          <w:szCs w:val="24"/>
        </w:rPr>
      </w:pPr>
      <w:r>
        <w:rPr>
          <w:rFonts w:hint="eastAsia" w:ascii="宋体" w:hAnsi="宋体" w:eastAsia="宋体" w:cs="宋体"/>
          <w:color w:val="auto"/>
        </w:rPr>
        <w:t>综上所述矿山地质环境问题现状见下表（表4-1）。</w:t>
      </w:r>
    </w:p>
    <w:p>
      <w:pPr>
        <w:spacing w:before="120" w:beforeLines="50"/>
        <w:ind w:firstLine="0" w:firstLineChars="0"/>
        <w:jc w:val="center"/>
        <w:rPr>
          <w:rFonts w:hint="eastAsia" w:ascii="宋体" w:hAnsi="宋体" w:eastAsia="宋体" w:cs="宋体"/>
          <w:b/>
          <w:color w:val="auto"/>
          <w:szCs w:val="24"/>
        </w:rPr>
      </w:pPr>
      <w:r>
        <w:rPr>
          <w:rFonts w:hint="eastAsia" w:ascii="宋体" w:hAnsi="宋体" w:eastAsia="宋体" w:cs="宋体"/>
          <w:b w:val="0"/>
          <w:bCs/>
          <w:color w:val="auto"/>
          <w:szCs w:val="24"/>
        </w:rPr>
        <w:t>表4-1  矿山地质环境问题现状说明表</w:t>
      </w:r>
    </w:p>
    <w:tbl>
      <w:tblPr>
        <w:tblStyle w:val="87"/>
        <w:tblW w:w="4998"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2077"/>
        <w:gridCol w:w="754"/>
        <w:gridCol w:w="1158"/>
        <w:gridCol w:w="2"/>
        <w:gridCol w:w="1168"/>
        <w:gridCol w:w="2"/>
        <w:gridCol w:w="955"/>
        <w:gridCol w:w="1196"/>
        <w:gridCol w:w="1214"/>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blHeader/>
          <w:jc w:val="center"/>
        </w:trPr>
        <w:tc>
          <w:tcPr>
            <w:tcW w:w="1660" w:type="pct"/>
            <w:gridSpan w:val="2"/>
            <w:vMerge w:val="restart"/>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亚区名称及编号</w:t>
            </w:r>
          </w:p>
        </w:tc>
        <w:tc>
          <w:tcPr>
            <w:tcW w:w="679" w:type="pct"/>
            <w:vMerge w:val="restart"/>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损毁面积（m</w:t>
            </w:r>
            <w:r>
              <w:rPr>
                <w:rFonts w:hint="eastAsia" w:ascii="宋体" w:hAnsi="宋体" w:eastAsia="宋体" w:cs="宋体"/>
                <w:color w:val="auto"/>
                <w:sz w:val="21"/>
                <w:szCs w:val="21"/>
                <w:vertAlign w:val="superscript"/>
              </w:rPr>
              <w:t>2</w:t>
            </w:r>
            <w:r>
              <w:rPr>
                <w:rFonts w:hint="eastAsia" w:ascii="宋体" w:hAnsi="宋体" w:eastAsia="宋体" w:cs="宋体"/>
                <w:color w:val="auto"/>
                <w:sz w:val="21"/>
                <w:szCs w:val="21"/>
              </w:rPr>
              <w:t>）</w:t>
            </w:r>
          </w:p>
        </w:tc>
        <w:tc>
          <w:tcPr>
            <w:tcW w:w="2660" w:type="pct"/>
            <w:gridSpan w:val="6"/>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现状矿山地质环境问题</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blHeader/>
          <w:jc w:val="center"/>
        </w:trPr>
        <w:tc>
          <w:tcPr>
            <w:tcW w:w="1660" w:type="pct"/>
            <w:gridSpan w:val="2"/>
            <w:vMerge w:val="continue"/>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rPr>
            </w:pPr>
          </w:p>
        </w:tc>
        <w:tc>
          <w:tcPr>
            <w:tcW w:w="679" w:type="pct"/>
            <w:vMerge w:val="continue"/>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rPr>
            </w:pPr>
          </w:p>
        </w:tc>
        <w:tc>
          <w:tcPr>
            <w:tcW w:w="686" w:type="pct"/>
            <w:gridSpan w:val="2"/>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地质灾害</w:t>
            </w:r>
          </w:p>
        </w:tc>
        <w:tc>
          <w:tcPr>
            <w:tcW w:w="561" w:type="pct"/>
            <w:gridSpan w:val="2"/>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含水层</w:t>
            </w:r>
          </w:p>
        </w:tc>
        <w:tc>
          <w:tcPr>
            <w:tcW w:w="701" w:type="pct"/>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地形地貌景观</w:t>
            </w:r>
          </w:p>
        </w:tc>
        <w:tc>
          <w:tcPr>
            <w:tcW w:w="711" w:type="pct"/>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土地损毁</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1218" w:type="pct"/>
            <w:noWrap w:val="0"/>
            <w:vAlign w:val="center"/>
          </w:tcPr>
          <w:p>
            <w:pPr>
              <w:keepNext w:val="0"/>
              <w:keepLines w:val="0"/>
              <w:pageBreakBefore w:val="0"/>
              <w:kinsoku/>
              <w:wordWrap/>
              <w:overflowPunct/>
              <w:topLinePunct w:val="0"/>
              <w:autoSpaceDE/>
              <w:autoSpaceDN/>
              <w:bidi w:val="0"/>
              <w:spacing w:after="0" w:line="240" w:lineRule="auto"/>
              <w:ind w:firstLine="0" w:firstLineChars="0"/>
              <w:contextualSpacing/>
              <w:jc w:val="center"/>
              <w:textAlignment w:val="auto"/>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rPr>
              <w:t>露天采场</w:t>
            </w:r>
          </w:p>
        </w:tc>
        <w:tc>
          <w:tcPr>
            <w:tcW w:w="442" w:type="pct"/>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Ⅱ</w:t>
            </w:r>
            <w:r>
              <w:rPr>
                <w:rFonts w:hint="eastAsia" w:ascii="宋体" w:hAnsi="宋体" w:eastAsia="宋体" w:cs="宋体"/>
                <w:color w:val="auto"/>
                <w:sz w:val="21"/>
                <w:szCs w:val="21"/>
                <w:vertAlign w:val="subscript"/>
                <w:lang w:val="en-US" w:eastAsia="zh-CN"/>
              </w:rPr>
              <w:t>1</w:t>
            </w:r>
          </w:p>
        </w:tc>
        <w:tc>
          <w:tcPr>
            <w:tcW w:w="679" w:type="pct"/>
            <w:noWrap w:val="0"/>
            <w:vAlign w:val="center"/>
          </w:tcPr>
          <w:p>
            <w:pPr>
              <w:keepNext w:val="0"/>
              <w:keepLines w:val="0"/>
              <w:pageBreakBefore w:val="0"/>
              <w:kinsoku/>
              <w:wordWrap/>
              <w:overflowPunct/>
              <w:topLinePunct w:val="0"/>
              <w:autoSpaceDE/>
              <w:autoSpaceDN/>
              <w:bidi w:val="0"/>
              <w:spacing w:after="0" w:line="240" w:lineRule="auto"/>
              <w:ind w:firstLine="0" w:firstLineChars="0"/>
              <w:contextualSpacing/>
              <w:jc w:val="center"/>
              <w:textAlignment w:val="auto"/>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43919</w:t>
            </w:r>
          </w:p>
        </w:tc>
        <w:tc>
          <w:tcPr>
            <w:tcW w:w="686" w:type="pct"/>
            <w:gridSpan w:val="2"/>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bCs/>
                <w:color w:val="auto"/>
                <w:sz w:val="21"/>
                <w:szCs w:val="21"/>
                <w:lang w:val="en-US" w:eastAsia="zh-CN" w:bidi="ar-SA"/>
              </w:rPr>
            </w:pPr>
            <w:r>
              <w:rPr>
                <w:rFonts w:hint="eastAsia" w:ascii="宋体" w:hAnsi="宋体" w:eastAsia="宋体" w:cs="宋体"/>
                <w:bCs/>
                <w:color w:val="auto"/>
                <w:sz w:val="21"/>
                <w:szCs w:val="21"/>
                <w:lang w:val="en-US" w:eastAsia="zh-CN" w:bidi="ar-SA"/>
              </w:rPr>
              <w:t>较轻</w:t>
            </w:r>
          </w:p>
        </w:tc>
        <w:tc>
          <w:tcPr>
            <w:tcW w:w="561" w:type="pct"/>
            <w:gridSpan w:val="2"/>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rPr>
              <w:t>较轻</w:t>
            </w:r>
          </w:p>
        </w:tc>
        <w:tc>
          <w:tcPr>
            <w:tcW w:w="701" w:type="pct"/>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rPr>
              <w:t>严重</w:t>
            </w:r>
          </w:p>
        </w:tc>
        <w:tc>
          <w:tcPr>
            <w:tcW w:w="711" w:type="pct"/>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eastAsia="zh-CN"/>
              </w:rPr>
              <w:t>重</w:t>
            </w:r>
            <w:r>
              <w:rPr>
                <w:rFonts w:hint="eastAsia" w:ascii="宋体" w:hAnsi="宋体" w:eastAsia="宋体" w:cs="宋体"/>
                <w:color w:val="auto"/>
                <w:sz w:val="21"/>
                <w:szCs w:val="21"/>
              </w:rPr>
              <w:t>度</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1218" w:type="pct"/>
            <w:tcBorders>
              <w:bottom w:val="single" w:color="auto" w:sz="4" w:space="0"/>
            </w:tcBorders>
            <w:noWrap w:val="0"/>
            <w:vAlign w:val="center"/>
          </w:tcPr>
          <w:p>
            <w:pPr>
              <w:keepNext w:val="0"/>
              <w:keepLines w:val="0"/>
              <w:pageBreakBefore w:val="0"/>
              <w:kinsoku/>
              <w:wordWrap/>
              <w:overflowPunct/>
              <w:topLinePunct w:val="0"/>
              <w:autoSpaceDE/>
              <w:autoSpaceDN/>
              <w:bidi w:val="0"/>
              <w:spacing w:after="0" w:line="240" w:lineRule="auto"/>
              <w:ind w:firstLine="0" w:firstLineChars="0"/>
              <w:contextualSpacing/>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原废石场</w:t>
            </w:r>
          </w:p>
        </w:tc>
        <w:tc>
          <w:tcPr>
            <w:tcW w:w="442" w:type="pct"/>
            <w:tcBorders>
              <w:bottom w:val="single" w:color="auto" w:sz="4" w:space="0"/>
            </w:tcBorders>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Ⅱ</w:t>
            </w:r>
            <w:r>
              <w:rPr>
                <w:rFonts w:hint="eastAsia" w:ascii="宋体" w:hAnsi="宋体" w:eastAsia="宋体" w:cs="宋体"/>
                <w:color w:val="auto"/>
                <w:sz w:val="21"/>
                <w:szCs w:val="21"/>
                <w:vertAlign w:val="subscript"/>
                <w:lang w:val="en-US" w:eastAsia="zh-CN"/>
              </w:rPr>
              <w:t>3</w:t>
            </w:r>
          </w:p>
        </w:tc>
        <w:tc>
          <w:tcPr>
            <w:tcW w:w="679" w:type="pct"/>
            <w:tcBorders>
              <w:bottom w:val="single" w:color="auto" w:sz="4" w:space="0"/>
            </w:tcBorders>
            <w:noWrap w:val="0"/>
            <w:vAlign w:val="center"/>
          </w:tcPr>
          <w:p>
            <w:pPr>
              <w:keepNext w:val="0"/>
              <w:keepLines w:val="0"/>
              <w:pageBreakBefore w:val="0"/>
              <w:kinsoku/>
              <w:wordWrap/>
              <w:overflowPunct/>
              <w:topLinePunct w:val="0"/>
              <w:autoSpaceDE/>
              <w:autoSpaceDN/>
              <w:bidi w:val="0"/>
              <w:spacing w:after="0" w:line="240" w:lineRule="auto"/>
              <w:ind w:firstLine="0" w:firstLineChars="0"/>
              <w:contextualSpacing/>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134396</w:t>
            </w:r>
          </w:p>
        </w:tc>
        <w:tc>
          <w:tcPr>
            <w:tcW w:w="686" w:type="pct"/>
            <w:gridSpan w:val="2"/>
            <w:tcBorders>
              <w:bottom w:val="single" w:color="auto" w:sz="4" w:space="0"/>
            </w:tcBorders>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bCs/>
                <w:color w:val="auto"/>
                <w:sz w:val="21"/>
                <w:szCs w:val="21"/>
              </w:rPr>
            </w:pPr>
            <w:r>
              <w:rPr>
                <w:rFonts w:hint="eastAsia" w:ascii="宋体" w:hAnsi="宋体" w:eastAsia="宋体" w:cs="宋体"/>
                <w:bCs/>
                <w:color w:val="auto"/>
                <w:sz w:val="21"/>
                <w:szCs w:val="21"/>
                <w:lang w:val="en-US" w:eastAsia="zh-CN" w:bidi="ar-SA"/>
              </w:rPr>
              <w:t>较轻</w:t>
            </w:r>
          </w:p>
        </w:tc>
        <w:tc>
          <w:tcPr>
            <w:tcW w:w="561" w:type="pct"/>
            <w:gridSpan w:val="2"/>
            <w:tcBorders>
              <w:bottom w:val="single" w:color="auto" w:sz="4" w:space="0"/>
            </w:tcBorders>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较轻</w:t>
            </w:r>
          </w:p>
        </w:tc>
        <w:tc>
          <w:tcPr>
            <w:tcW w:w="701" w:type="pct"/>
            <w:tcBorders>
              <w:bottom w:val="single" w:color="auto" w:sz="4" w:space="0"/>
            </w:tcBorders>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严重</w:t>
            </w:r>
          </w:p>
        </w:tc>
        <w:tc>
          <w:tcPr>
            <w:tcW w:w="711" w:type="pct"/>
            <w:tcBorders>
              <w:bottom w:val="single" w:color="auto" w:sz="4" w:space="0"/>
            </w:tcBorders>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重</w:t>
            </w:r>
            <w:r>
              <w:rPr>
                <w:rFonts w:hint="eastAsia" w:ascii="宋体" w:hAnsi="宋体" w:eastAsia="宋体" w:cs="宋体"/>
                <w:color w:val="auto"/>
                <w:sz w:val="21"/>
                <w:szCs w:val="21"/>
              </w:rPr>
              <w:t>度</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1218" w:type="pct"/>
            <w:tcBorders>
              <w:top w:val="single" w:color="auto" w:sz="4" w:space="0"/>
            </w:tcBorders>
            <w:noWrap w:val="0"/>
            <w:vAlign w:val="center"/>
          </w:tcPr>
          <w:p>
            <w:pPr>
              <w:keepNext w:val="0"/>
              <w:keepLines w:val="0"/>
              <w:pageBreakBefore w:val="0"/>
              <w:kinsoku/>
              <w:wordWrap/>
              <w:overflowPunct/>
              <w:topLinePunct w:val="0"/>
              <w:autoSpaceDE/>
              <w:autoSpaceDN/>
              <w:bidi w:val="0"/>
              <w:spacing w:after="0" w:line="240" w:lineRule="auto"/>
              <w:ind w:firstLine="0" w:firstLineChars="0"/>
              <w:contextualSpacing/>
              <w:jc w:val="center"/>
              <w:textAlignment w:val="auto"/>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rPr>
              <w:t>渣堆2</w:t>
            </w:r>
          </w:p>
        </w:tc>
        <w:tc>
          <w:tcPr>
            <w:tcW w:w="442" w:type="pct"/>
            <w:tcBorders>
              <w:top w:val="single" w:color="auto" w:sz="4" w:space="0"/>
            </w:tcBorders>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Ⅱ</w:t>
            </w:r>
            <w:r>
              <w:rPr>
                <w:rFonts w:hint="eastAsia" w:ascii="宋体" w:hAnsi="宋体" w:eastAsia="宋体" w:cs="宋体"/>
                <w:color w:val="auto"/>
                <w:sz w:val="21"/>
                <w:szCs w:val="21"/>
                <w:vertAlign w:val="subscript"/>
                <w:lang w:val="en-US" w:eastAsia="zh-CN"/>
              </w:rPr>
              <w:t>6</w:t>
            </w:r>
          </w:p>
        </w:tc>
        <w:tc>
          <w:tcPr>
            <w:tcW w:w="679" w:type="pct"/>
            <w:tcBorders>
              <w:top w:val="single" w:color="auto" w:sz="4" w:space="0"/>
            </w:tcBorders>
            <w:noWrap w:val="0"/>
            <w:vAlign w:val="center"/>
          </w:tcPr>
          <w:p>
            <w:pPr>
              <w:keepNext w:val="0"/>
              <w:keepLines w:val="0"/>
              <w:pageBreakBefore w:val="0"/>
              <w:kinsoku/>
              <w:wordWrap/>
              <w:overflowPunct/>
              <w:topLinePunct w:val="0"/>
              <w:autoSpaceDE/>
              <w:autoSpaceDN/>
              <w:bidi w:val="0"/>
              <w:spacing w:after="0" w:line="240" w:lineRule="auto"/>
              <w:ind w:firstLine="0" w:firstLineChars="0"/>
              <w:contextualSpacing/>
              <w:jc w:val="center"/>
              <w:textAlignment w:val="auto"/>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rPr>
              <w:t>1409</w:t>
            </w:r>
          </w:p>
        </w:tc>
        <w:tc>
          <w:tcPr>
            <w:tcW w:w="686" w:type="pct"/>
            <w:gridSpan w:val="2"/>
            <w:tcBorders>
              <w:top w:val="single" w:color="auto" w:sz="4" w:space="0"/>
            </w:tcBorders>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bCs/>
                <w:color w:val="auto"/>
                <w:sz w:val="21"/>
                <w:szCs w:val="21"/>
                <w:lang w:val="en-US" w:eastAsia="zh-CN" w:bidi="ar-SA"/>
              </w:rPr>
            </w:pPr>
            <w:r>
              <w:rPr>
                <w:rFonts w:hint="eastAsia" w:ascii="宋体" w:hAnsi="宋体" w:eastAsia="宋体" w:cs="宋体"/>
                <w:bCs/>
                <w:color w:val="auto"/>
                <w:sz w:val="21"/>
                <w:szCs w:val="21"/>
                <w:lang w:val="en-US" w:eastAsia="zh-CN" w:bidi="ar-SA"/>
              </w:rPr>
              <w:t>较轻</w:t>
            </w:r>
          </w:p>
        </w:tc>
        <w:tc>
          <w:tcPr>
            <w:tcW w:w="561" w:type="pct"/>
            <w:gridSpan w:val="2"/>
            <w:tcBorders>
              <w:top w:val="single" w:color="auto" w:sz="4" w:space="0"/>
            </w:tcBorders>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rPr>
              <w:t>较轻</w:t>
            </w:r>
          </w:p>
        </w:tc>
        <w:tc>
          <w:tcPr>
            <w:tcW w:w="701" w:type="pct"/>
            <w:tcBorders>
              <w:top w:val="single" w:color="auto" w:sz="4" w:space="0"/>
            </w:tcBorders>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rPr>
              <w:t>较严重</w:t>
            </w:r>
          </w:p>
        </w:tc>
        <w:tc>
          <w:tcPr>
            <w:tcW w:w="711" w:type="pct"/>
            <w:tcBorders>
              <w:top w:val="single" w:color="auto" w:sz="4" w:space="0"/>
            </w:tcBorders>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rPr>
              <w:t>中度</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1218" w:type="pct"/>
            <w:tcBorders>
              <w:top w:val="single" w:color="auto" w:sz="4" w:space="0"/>
            </w:tcBorders>
            <w:noWrap w:val="0"/>
            <w:vAlign w:val="center"/>
          </w:tcPr>
          <w:p>
            <w:pPr>
              <w:keepNext w:val="0"/>
              <w:keepLines w:val="0"/>
              <w:pageBreakBefore w:val="0"/>
              <w:kinsoku/>
              <w:wordWrap/>
              <w:overflowPunct/>
              <w:topLinePunct w:val="0"/>
              <w:autoSpaceDE/>
              <w:autoSpaceDN/>
              <w:bidi w:val="0"/>
              <w:spacing w:after="0" w:line="240" w:lineRule="auto"/>
              <w:ind w:firstLine="0" w:firstLineChars="0"/>
              <w:contextualSpacing/>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渣堆3</w:t>
            </w:r>
          </w:p>
        </w:tc>
        <w:tc>
          <w:tcPr>
            <w:tcW w:w="442" w:type="pct"/>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Ⅱ</w:t>
            </w:r>
            <w:r>
              <w:rPr>
                <w:rFonts w:hint="eastAsia" w:ascii="宋体" w:hAnsi="宋体" w:eastAsia="宋体" w:cs="宋体"/>
                <w:color w:val="auto"/>
                <w:sz w:val="21"/>
                <w:szCs w:val="21"/>
                <w:vertAlign w:val="subscript"/>
                <w:lang w:val="en-US" w:eastAsia="zh-CN"/>
              </w:rPr>
              <w:t>7</w:t>
            </w:r>
          </w:p>
        </w:tc>
        <w:tc>
          <w:tcPr>
            <w:tcW w:w="679" w:type="pct"/>
            <w:noWrap w:val="0"/>
            <w:vAlign w:val="center"/>
          </w:tcPr>
          <w:p>
            <w:pPr>
              <w:keepNext w:val="0"/>
              <w:keepLines w:val="0"/>
              <w:pageBreakBefore w:val="0"/>
              <w:kinsoku/>
              <w:wordWrap/>
              <w:overflowPunct/>
              <w:topLinePunct w:val="0"/>
              <w:autoSpaceDE/>
              <w:autoSpaceDN/>
              <w:bidi w:val="0"/>
              <w:spacing w:after="0" w:line="240" w:lineRule="auto"/>
              <w:ind w:firstLine="0" w:firstLineChars="0"/>
              <w:contextualSpacing/>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25409</w:t>
            </w:r>
          </w:p>
        </w:tc>
        <w:tc>
          <w:tcPr>
            <w:tcW w:w="686" w:type="pct"/>
            <w:gridSpan w:val="2"/>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bCs/>
                <w:color w:val="auto"/>
                <w:sz w:val="21"/>
                <w:szCs w:val="21"/>
              </w:rPr>
            </w:pPr>
            <w:r>
              <w:rPr>
                <w:rFonts w:hint="eastAsia" w:ascii="宋体" w:hAnsi="宋体" w:eastAsia="宋体" w:cs="宋体"/>
                <w:bCs/>
                <w:color w:val="auto"/>
                <w:sz w:val="21"/>
                <w:szCs w:val="21"/>
                <w:lang w:val="en-US" w:eastAsia="zh-CN" w:bidi="ar-SA"/>
              </w:rPr>
              <w:t>较轻</w:t>
            </w:r>
          </w:p>
        </w:tc>
        <w:tc>
          <w:tcPr>
            <w:tcW w:w="561" w:type="pct"/>
            <w:gridSpan w:val="2"/>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较轻</w:t>
            </w:r>
          </w:p>
        </w:tc>
        <w:tc>
          <w:tcPr>
            <w:tcW w:w="701" w:type="pct"/>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较严重</w:t>
            </w:r>
          </w:p>
        </w:tc>
        <w:tc>
          <w:tcPr>
            <w:tcW w:w="711" w:type="pct"/>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中度</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1218" w:type="pct"/>
            <w:tcBorders>
              <w:top w:val="single" w:color="auto" w:sz="4" w:space="0"/>
            </w:tcBorders>
            <w:noWrap w:val="0"/>
            <w:vAlign w:val="center"/>
          </w:tcPr>
          <w:p>
            <w:pPr>
              <w:keepNext w:val="0"/>
              <w:keepLines w:val="0"/>
              <w:pageBreakBefore w:val="0"/>
              <w:kinsoku/>
              <w:wordWrap/>
              <w:overflowPunct/>
              <w:topLinePunct w:val="0"/>
              <w:autoSpaceDE/>
              <w:autoSpaceDN/>
              <w:bidi w:val="0"/>
              <w:spacing w:after="0" w:line="240" w:lineRule="auto"/>
              <w:ind w:firstLine="0" w:firstLineChars="0"/>
              <w:contextualSpacing/>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矿区道路</w:t>
            </w:r>
          </w:p>
        </w:tc>
        <w:tc>
          <w:tcPr>
            <w:tcW w:w="442" w:type="pct"/>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Ⅱ</w:t>
            </w:r>
            <w:r>
              <w:rPr>
                <w:rFonts w:hint="eastAsia" w:ascii="宋体" w:hAnsi="宋体" w:eastAsia="宋体" w:cs="宋体"/>
                <w:color w:val="auto"/>
                <w:sz w:val="21"/>
                <w:szCs w:val="21"/>
                <w:vertAlign w:val="subscript"/>
                <w:lang w:val="en-US" w:eastAsia="zh-CN"/>
              </w:rPr>
              <w:t>8</w:t>
            </w:r>
          </w:p>
        </w:tc>
        <w:tc>
          <w:tcPr>
            <w:tcW w:w="679" w:type="pct"/>
            <w:noWrap w:val="0"/>
            <w:vAlign w:val="center"/>
          </w:tcPr>
          <w:p>
            <w:pPr>
              <w:keepNext w:val="0"/>
              <w:keepLines w:val="0"/>
              <w:pageBreakBefore w:val="0"/>
              <w:kinsoku/>
              <w:wordWrap/>
              <w:overflowPunct/>
              <w:topLinePunct w:val="0"/>
              <w:autoSpaceDE/>
              <w:autoSpaceDN/>
              <w:bidi w:val="0"/>
              <w:spacing w:after="0" w:line="240" w:lineRule="auto"/>
              <w:ind w:firstLine="0" w:firstLineChars="0"/>
              <w:contextualSpacing/>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2286</w:t>
            </w:r>
          </w:p>
        </w:tc>
        <w:tc>
          <w:tcPr>
            <w:tcW w:w="686" w:type="pct"/>
            <w:gridSpan w:val="2"/>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bCs/>
                <w:color w:val="auto"/>
                <w:sz w:val="21"/>
                <w:szCs w:val="21"/>
              </w:rPr>
            </w:pPr>
            <w:r>
              <w:rPr>
                <w:rFonts w:hint="eastAsia" w:ascii="宋体" w:hAnsi="宋体" w:eastAsia="宋体" w:cs="宋体"/>
                <w:bCs/>
                <w:color w:val="auto"/>
                <w:sz w:val="21"/>
                <w:szCs w:val="21"/>
                <w:lang w:val="en-US" w:eastAsia="zh-CN" w:bidi="ar-SA"/>
              </w:rPr>
              <w:t>较轻</w:t>
            </w:r>
          </w:p>
        </w:tc>
        <w:tc>
          <w:tcPr>
            <w:tcW w:w="561" w:type="pct"/>
            <w:gridSpan w:val="2"/>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较轻</w:t>
            </w:r>
          </w:p>
        </w:tc>
        <w:tc>
          <w:tcPr>
            <w:tcW w:w="701" w:type="pct"/>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较严重</w:t>
            </w:r>
          </w:p>
        </w:tc>
        <w:tc>
          <w:tcPr>
            <w:tcW w:w="711" w:type="pct"/>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中度</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1218" w:type="pct"/>
            <w:tcBorders>
              <w:top w:val="single" w:color="auto" w:sz="4" w:space="0"/>
            </w:tcBorders>
            <w:noWrap w:val="0"/>
            <w:vAlign w:val="center"/>
          </w:tcPr>
          <w:p>
            <w:pPr>
              <w:keepNext w:val="0"/>
              <w:keepLines w:val="0"/>
              <w:pageBreakBefore w:val="0"/>
              <w:kinsoku/>
              <w:wordWrap/>
              <w:overflowPunct/>
              <w:topLinePunct w:val="0"/>
              <w:autoSpaceDE/>
              <w:autoSpaceDN/>
              <w:bidi w:val="0"/>
              <w:spacing w:after="0" w:line="240" w:lineRule="auto"/>
              <w:ind w:firstLine="0" w:firstLineChars="0"/>
              <w:contextualSpacing/>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工业场地</w:t>
            </w:r>
          </w:p>
        </w:tc>
        <w:tc>
          <w:tcPr>
            <w:tcW w:w="442" w:type="pct"/>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Ⅱ</w:t>
            </w:r>
            <w:r>
              <w:rPr>
                <w:rFonts w:hint="eastAsia" w:ascii="宋体" w:hAnsi="宋体" w:eastAsia="宋体" w:cs="宋体"/>
                <w:color w:val="auto"/>
                <w:sz w:val="21"/>
                <w:szCs w:val="21"/>
                <w:vertAlign w:val="subscript"/>
                <w:lang w:val="en-US" w:eastAsia="zh-CN"/>
              </w:rPr>
              <w:t>9</w:t>
            </w:r>
          </w:p>
        </w:tc>
        <w:tc>
          <w:tcPr>
            <w:tcW w:w="679" w:type="pct"/>
            <w:noWrap w:val="0"/>
            <w:vAlign w:val="center"/>
          </w:tcPr>
          <w:p>
            <w:pPr>
              <w:keepNext w:val="0"/>
              <w:keepLines w:val="0"/>
              <w:pageBreakBefore w:val="0"/>
              <w:kinsoku/>
              <w:wordWrap/>
              <w:overflowPunct/>
              <w:topLinePunct w:val="0"/>
              <w:autoSpaceDE/>
              <w:autoSpaceDN/>
              <w:bidi w:val="0"/>
              <w:spacing w:after="0" w:line="240" w:lineRule="auto"/>
              <w:ind w:firstLine="0" w:firstLineChars="0"/>
              <w:contextualSpacing/>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9878</w:t>
            </w:r>
          </w:p>
        </w:tc>
        <w:tc>
          <w:tcPr>
            <w:tcW w:w="686" w:type="pct"/>
            <w:gridSpan w:val="2"/>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bCs/>
                <w:color w:val="auto"/>
                <w:sz w:val="21"/>
                <w:szCs w:val="21"/>
              </w:rPr>
            </w:pPr>
            <w:r>
              <w:rPr>
                <w:rFonts w:hint="eastAsia" w:ascii="宋体" w:hAnsi="宋体" w:eastAsia="宋体" w:cs="宋体"/>
                <w:bCs/>
                <w:color w:val="auto"/>
                <w:sz w:val="21"/>
                <w:szCs w:val="21"/>
                <w:lang w:val="en-US" w:eastAsia="zh-CN" w:bidi="ar-SA"/>
              </w:rPr>
              <w:t>较轻</w:t>
            </w:r>
          </w:p>
        </w:tc>
        <w:tc>
          <w:tcPr>
            <w:tcW w:w="561" w:type="pct"/>
            <w:gridSpan w:val="2"/>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较轻</w:t>
            </w:r>
          </w:p>
        </w:tc>
        <w:tc>
          <w:tcPr>
            <w:tcW w:w="701" w:type="pct"/>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较严重</w:t>
            </w:r>
          </w:p>
        </w:tc>
        <w:tc>
          <w:tcPr>
            <w:tcW w:w="711" w:type="pct"/>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中度</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397" w:hRule="atLeast"/>
          <w:jc w:val="center"/>
        </w:trPr>
        <w:tc>
          <w:tcPr>
            <w:tcW w:w="1218" w:type="pct"/>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合计</w:t>
            </w:r>
          </w:p>
        </w:tc>
        <w:tc>
          <w:tcPr>
            <w:tcW w:w="442" w:type="pct"/>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w:t>
            </w:r>
          </w:p>
        </w:tc>
        <w:tc>
          <w:tcPr>
            <w:tcW w:w="680" w:type="pct"/>
            <w:gridSpan w:val="2"/>
            <w:tcBorders>
              <w:right w:val="single" w:color="auto" w:sz="4" w:space="0"/>
            </w:tcBorders>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b/>
                <w:bCs/>
                <w:color w:val="auto"/>
                <w:sz w:val="21"/>
                <w:szCs w:val="21"/>
                <w:lang w:val="en-US"/>
              </w:rPr>
            </w:pPr>
            <w:r>
              <w:rPr>
                <w:rFonts w:hint="eastAsia" w:ascii="宋体" w:hAnsi="宋体" w:eastAsia="宋体" w:cs="宋体"/>
                <w:b/>
                <w:bCs/>
                <w:color w:val="auto"/>
                <w:sz w:val="21"/>
                <w:szCs w:val="21"/>
                <w:lang w:val="en-US" w:eastAsia="zh-CN"/>
              </w:rPr>
              <w:t>217297</w:t>
            </w:r>
          </w:p>
        </w:tc>
        <w:tc>
          <w:tcPr>
            <w:tcW w:w="686" w:type="pct"/>
            <w:gridSpan w:val="2"/>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rPr>
              <w:t>--</w:t>
            </w:r>
          </w:p>
        </w:tc>
        <w:tc>
          <w:tcPr>
            <w:tcW w:w="560" w:type="pct"/>
            <w:tcBorders>
              <w:left w:val="single" w:color="auto" w:sz="4" w:space="0"/>
            </w:tcBorders>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rPr>
              <w:t>--</w:t>
            </w:r>
          </w:p>
        </w:tc>
        <w:tc>
          <w:tcPr>
            <w:tcW w:w="701" w:type="pct"/>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w:t>
            </w:r>
          </w:p>
        </w:tc>
        <w:tc>
          <w:tcPr>
            <w:tcW w:w="711" w:type="pct"/>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w:t>
            </w:r>
          </w:p>
        </w:tc>
      </w:tr>
    </w:tbl>
    <w:p>
      <w:pPr>
        <w:rPr>
          <w:rFonts w:hint="eastAsia" w:ascii="宋体" w:hAnsi="宋体" w:eastAsia="宋体" w:cs="宋体"/>
          <w:color w:val="auto"/>
          <w:sz w:val="36"/>
          <w:szCs w:val="36"/>
        </w:rPr>
      </w:pPr>
      <w:r>
        <w:rPr>
          <w:rFonts w:hint="eastAsia" w:ascii="宋体" w:hAnsi="宋体" w:eastAsia="宋体" w:cs="宋体"/>
          <w:color w:val="auto"/>
          <w:sz w:val="36"/>
          <w:szCs w:val="36"/>
        </w:rPr>
        <w:br w:type="page"/>
      </w:r>
    </w:p>
    <w:p>
      <w:pPr>
        <w:pStyle w:val="5"/>
        <w:adjustRightInd/>
        <w:snapToGrid/>
        <w:spacing w:before="0"/>
        <w:jc w:val="both"/>
        <w:rPr>
          <w:rFonts w:hint="eastAsia" w:ascii="宋体" w:hAnsi="宋体" w:eastAsia="宋体" w:cs="宋体"/>
          <w:color w:val="auto"/>
          <w:sz w:val="36"/>
          <w:szCs w:val="36"/>
        </w:rPr>
      </w:pPr>
      <w:bookmarkStart w:id="31" w:name="_Toc13703"/>
      <w:r>
        <w:rPr>
          <w:rFonts w:hint="eastAsia" w:ascii="宋体" w:hAnsi="宋体" w:eastAsia="宋体" w:cs="宋体"/>
          <w:color w:val="auto"/>
          <w:sz w:val="32"/>
          <w:szCs w:val="32"/>
        </w:rPr>
        <w:t>（二）矿山地质环境问题预测</w:t>
      </w:r>
      <w:bookmarkEnd w:id="31"/>
    </w:p>
    <w:p>
      <w:pPr>
        <w:keepNext w:val="0"/>
        <w:keepLines w:val="0"/>
        <w:pageBreakBefore w:val="0"/>
        <w:widowControl w:val="0"/>
        <w:kinsoku/>
        <w:wordWrap/>
        <w:overflowPunct/>
        <w:topLinePunct w:val="0"/>
        <w:autoSpaceDE/>
        <w:autoSpaceDN/>
        <w:bidi w:val="0"/>
        <w:adjustRightInd w:val="0"/>
        <w:snapToGrid w:val="0"/>
        <w:ind w:firstLine="480"/>
        <w:jc w:val="left"/>
        <w:textAlignment w:val="auto"/>
        <w:rPr>
          <w:rFonts w:hint="eastAsia" w:ascii="宋体" w:hAnsi="宋体" w:eastAsia="宋体" w:cs="宋体"/>
          <w:color w:val="auto"/>
        </w:rPr>
      </w:pPr>
      <w:r>
        <w:rPr>
          <w:rFonts w:hint="eastAsia" w:ascii="宋体" w:hAnsi="宋体" w:eastAsia="宋体" w:cs="宋体"/>
          <w:color w:val="auto"/>
          <w:kern w:val="0"/>
          <w:sz w:val="24"/>
          <w:szCs w:val="24"/>
          <w:lang w:val="en-US" w:eastAsia="zh-CN" w:bidi="ar"/>
        </w:rPr>
        <w:t>内蒙古自治区平庄煤田原五家煤矿一井东部炭质泥岩矿为停产矿山，2024年度无生产计划，不进行矿山建设。预测矿山本年度不会产生新的破坏单元，矿山地质环境问题预测与现状保持一致。</w:t>
      </w:r>
    </w:p>
    <w:p>
      <w:pPr>
        <w:spacing w:before="120" w:beforeLines="50"/>
        <w:ind w:firstLine="0" w:firstLineChars="0"/>
        <w:jc w:val="center"/>
        <w:rPr>
          <w:rFonts w:hint="eastAsia" w:ascii="宋体" w:hAnsi="宋体" w:eastAsia="宋体" w:cs="宋体"/>
          <w:b/>
          <w:color w:val="auto"/>
          <w:szCs w:val="24"/>
        </w:rPr>
      </w:pPr>
      <w:r>
        <w:rPr>
          <w:rFonts w:hint="eastAsia" w:ascii="宋体" w:hAnsi="宋体" w:eastAsia="宋体" w:cs="宋体"/>
          <w:b w:val="0"/>
          <w:bCs/>
          <w:color w:val="auto"/>
          <w:szCs w:val="24"/>
        </w:rPr>
        <w:t>表4-</w:t>
      </w:r>
      <w:r>
        <w:rPr>
          <w:rFonts w:hint="eastAsia" w:ascii="宋体" w:hAnsi="宋体" w:eastAsia="宋体" w:cs="宋体"/>
          <w:b w:val="0"/>
          <w:bCs/>
          <w:color w:val="auto"/>
          <w:szCs w:val="24"/>
          <w:lang w:val="en-US" w:eastAsia="zh-CN"/>
        </w:rPr>
        <w:t>2</w:t>
      </w:r>
      <w:r>
        <w:rPr>
          <w:rFonts w:hint="eastAsia" w:ascii="宋体" w:hAnsi="宋体" w:eastAsia="宋体" w:cs="宋体"/>
          <w:b w:val="0"/>
          <w:bCs/>
          <w:color w:val="auto"/>
          <w:szCs w:val="24"/>
        </w:rPr>
        <w:t xml:space="preserve">  矿山地质环境问题</w:t>
      </w:r>
      <w:r>
        <w:rPr>
          <w:rFonts w:hint="eastAsia" w:ascii="宋体" w:hAnsi="宋体" w:eastAsia="宋体" w:cs="宋体"/>
          <w:b w:val="0"/>
          <w:bCs/>
          <w:color w:val="auto"/>
          <w:szCs w:val="24"/>
          <w:lang w:val="en-US" w:eastAsia="zh-CN"/>
        </w:rPr>
        <w:t>预测</w:t>
      </w:r>
      <w:r>
        <w:rPr>
          <w:rFonts w:hint="eastAsia" w:ascii="宋体" w:hAnsi="宋体" w:eastAsia="宋体" w:cs="宋体"/>
          <w:b w:val="0"/>
          <w:bCs/>
          <w:color w:val="auto"/>
          <w:szCs w:val="24"/>
        </w:rPr>
        <w:t>状说明表</w:t>
      </w:r>
    </w:p>
    <w:tbl>
      <w:tblPr>
        <w:tblStyle w:val="87"/>
        <w:tblW w:w="4998"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2077"/>
        <w:gridCol w:w="754"/>
        <w:gridCol w:w="1158"/>
        <w:gridCol w:w="2"/>
        <w:gridCol w:w="1168"/>
        <w:gridCol w:w="2"/>
        <w:gridCol w:w="955"/>
        <w:gridCol w:w="1196"/>
        <w:gridCol w:w="1214"/>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blHeader/>
          <w:jc w:val="center"/>
        </w:trPr>
        <w:tc>
          <w:tcPr>
            <w:tcW w:w="1660" w:type="pct"/>
            <w:gridSpan w:val="2"/>
            <w:vMerge w:val="restart"/>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亚区名称及编号</w:t>
            </w:r>
          </w:p>
        </w:tc>
        <w:tc>
          <w:tcPr>
            <w:tcW w:w="679" w:type="pct"/>
            <w:vMerge w:val="restart"/>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损毁面积（m</w:t>
            </w:r>
            <w:r>
              <w:rPr>
                <w:rFonts w:hint="eastAsia" w:ascii="宋体" w:hAnsi="宋体" w:eastAsia="宋体" w:cs="宋体"/>
                <w:color w:val="auto"/>
                <w:sz w:val="21"/>
                <w:szCs w:val="21"/>
                <w:vertAlign w:val="superscript"/>
              </w:rPr>
              <w:t>2</w:t>
            </w:r>
            <w:r>
              <w:rPr>
                <w:rFonts w:hint="eastAsia" w:ascii="宋体" w:hAnsi="宋体" w:eastAsia="宋体" w:cs="宋体"/>
                <w:color w:val="auto"/>
                <w:sz w:val="21"/>
                <w:szCs w:val="21"/>
              </w:rPr>
              <w:t>）</w:t>
            </w:r>
          </w:p>
        </w:tc>
        <w:tc>
          <w:tcPr>
            <w:tcW w:w="2660" w:type="pct"/>
            <w:gridSpan w:val="6"/>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矿山地质环境问题</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tblHeader/>
          <w:jc w:val="center"/>
        </w:trPr>
        <w:tc>
          <w:tcPr>
            <w:tcW w:w="1660" w:type="pct"/>
            <w:gridSpan w:val="2"/>
            <w:vMerge w:val="continue"/>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rPr>
            </w:pPr>
          </w:p>
        </w:tc>
        <w:tc>
          <w:tcPr>
            <w:tcW w:w="679" w:type="pct"/>
            <w:vMerge w:val="continue"/>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rPr>
            </w:pPr>
          </w:p>
        </w:tc>
        <w:tc>
          <w:tcPr>
            <w:tcW w:w="686" w:type="pct"/>
            <w:gridSpan w:val="2"/>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地质灾害</w:t>
            </w:r>
          </w:p>
        </w:tc>
        <w:tc>
          <w:tcPr>
            <w:tcW w:w="561" w:type="pct"/>
            <w:gridSpan w:val="2"/>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含水层</w:t>
            </w:r>
          </w:p>
        </w:tc>
        <w:tc>
          <w:tcPr>
            <w:tcW w:w="701" w:type="pct"/>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地形地貌景观</w:t>
            </w:r>
          </w:p>
        </w:tc>
        <w:tc>
          <w:tcPr>
            <w:tcW w:w="711" w:type="pct"/>
            <w:noWrap w:val="0"/>
            <w:vAlign w:val="center"/>
          </w:tcPr>
          <w:p>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土地损毁</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1218" w:type="pct"/>
            <w:noWrap w:val="0"/>
            <w:vAlign w:val="center"/>
          </w:tcPr>
          <w:p>
            <w:pPr>
              <w:keepNext w:val="0"/>
              <w:keepLines w:val="0"/>
              <w:pageBreakBefore w:val="0"/>
              <w:kinsoku/>
              <w:wordWrap/>
              <w:overflowPunct/>
              <w:topLinePunct w:val="0"/>
              <w:autoSpaceDE/>
              <w:autoSpaceDN/>
              <w:bidi w:val="0"/>
              <w:spacing w:after="0" w:line="240" w:lineRule="auto"/>
              <w:ind w:firstLine="0" w:firstLineChars="0"/>
              <w:contextualSpacing/>
              <w:jc w:val="center"/>
              <w:textAlignment w:val="auto"/>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rPr>
              <w:t>露天采场</w:t>
            </w:r>
          </w:p>
        </w:tc>
        <w:tc>
          <w:tcPr>
            <w:tcW w:w="442" w:type="pct"/>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Ⅱ</w:t>
            </w:r>
            <w:r>
              <w:rPr>
                <w:rFonts w:hint="eastAsia" w:ascii="宋体" w:hAnsi="宋体" w:eastAsia="宋体" w:cs="宋体"/>
                <w:color w:val="auto"/>
                <w:sz w:val="21"/>
                <w:szCs w:val="21"/>
                <w:vertAlign w:val="subscript"/>
                <w:lang w:val="en-US" w:eastAsia="zh-CN"/>
              </w:rPr>
              <w:t>1</w:t>
            </w:r>
          </w:p>
        </w:tc>
        <w:tc>
          <w:tcPr>
            <w:tcW w:w="679" w:type="pct"/>
            <w:noWrap w:val="0"/>
            <w:vAlign w:val="center"/>
          </w:tcPr>
          <w:p>
            <w:pPr>
              <w:keepNext w:val="0"/>
              <w:keepLines w:val="0"/>
              <w:pageBreakBefore w:val="0"/>
              <w:kinsoku/>
              <w:wordWrap/>
              <w:overflowPunct/>
              <w:topLinePunct w:val="0"/>
              <w:autoSpaceDE/>
              <w:autoSpaceDN/>
              <w:bidi w:val="0"/>
              <w:spacing w:after="0" w:line="240" w:lineRule="auto"/>
              <w:ind w:firstLine="0" w:firstLineChars="0"/>
              <w:contextualSpacing/>
              <w:jc w:val="center"/>
              <w:textAlignment w:val="auto"/>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bidi="ar-SA"/>
              </w:rPr>
              <w:t>43919</w:t>
            </w:r>
          </w:p>
        </w:tc>
        <w:tc>
          <w:tcPr>
            <w:tcW w:w="686" w:type="pct"/>
            <w:gridSpan w:val="2"/>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bCs/>
                <w:color w:val="auto"/>
                <w:sz w:val="21"/>
                <w:szCs w:val="21"/>
                <w:lang w:val="en-US" w:eastAsia="zh-CN" w:bidi="ar-SA"/>
              </w:rPr>
            </w:pPr>
            <w:r>
              <w:rPr>
                <w:rFonts w:hint="eastAsia" w:ascii="宋体" w:hAnsi="宋体" w:eastAsia="宋体" w:cs="宋体"/>
                <w:bCs/>
                <w:color w:val="auto"/>
                <w:sz w:val="21"/>
                <w:szCs w:val="21"/>
                <w:lang w:val="en-US" w:eastAsia="zh-CN" w:bidi="ar-SA"/>
              </w:rPr>
              <w:t>较轻</w:t>
            </w:r>
          </w:p>
        </w:tc>
        <w:tc>
          <w:tcPr>
            <w:tcW w:w="561" w:type="pct"/>
            <w:gridSpan w:val="2"/>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rPr>
              <w:t>较轻</w:t>
            </w:r>
          </w:p>
        </w:tc>
        <w:tc>
          <w:tcPr>
            <w:tcW w:w="701" w:type="pct"/>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rPr>
              <w:t>严重</w:t>
            </w:r>
          </w:p>
        </w:tc>
        <w:tc>
          <w:tcPr>
            <w:tcW w:w="711" w:type="pct"/>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eastAsia="zh-CN"/>
              </w:rPr>
              <w:t>重</w:t>
            </w:r>
            <w:r>
              <w:rPr>
                <w:rFonts w:hint="eastAsia" w:ascii="宋体" w:hAnsi="宋体" w:eastAsia="宋体" w:cs="宋体"/>
                <w:color w:val="auto"/>
                <w:sz w:val="21"/>
                <w:szCs w:val="21"/>
              </w:rPr>
              <w:t>度</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1218" w:type="pct"/>
            <w:tcBorders>
              <w:bottom w:val="single" w:color="auto" w:sz="4" w:space="0"/>
            </w:tcBorders>
            <w:noWrap w:val="0"/>
            <w:vAlign w:val="center"/>
          </w:tcPr>
          <w:p>
            <w:pPr>
              <w:keepNext w:val="0"/>
              <w:keepLines w:val="0"/>
              <w:pageBreakBefore w:val="0"/>
              <w:kinsoku/>
              <w:wordWrap/>
              <w:overflowPunct/>
              <w:topLinePunct w:val="0"/>
              <w:autoSpaceDE/>
              <w:autoSpaceDN/>
              <w:bidi w:val="0"/>
              <w:spacing w:after="0" w:line="240" w:lineRule="auto"/>
              <w:ind w:firstLine="0" w:firstLineChars="0"/>
              <w:contextualSpacing/>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原废石场</w:t>
            </w:r>
          </w:p>
        </w:tc>
        <w:tc>
          <w:tcPr>
            <w:tcW w:w="442" w:type="pct"/>
            <w:tcBorders>
              <w:bottom w:val="single" w:color="auto" w:sz="4" w:space="0"/>
            </w:tcBorders>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Ⅱ</w:t>
            </w:r>
            <w:r>
              <w:rPr>
                <w:rFonts w:hint="eastAsia" w:ascii="宋体" w:hAnsi="宋体" w:eastAsia="宋体" w:cs="宋体"/>
                <w:color w:val="auto"/>
                <w:sz w:val="21"/>
                <w:szCs w:val="21"/>
                <w:vertAlign w:val="subscript"/>
                <w:lang w:val="en-US" w:eastAsia="zh-CN"/>
              </w:rPr>
              <w:t>3</w:t>
            </w:r>
          </w:p>
        </w:tc>
        <w:tc>
          <w:tcPr>
            <w:tcW w:w="679" w:type="pct"/>
            <w:tcBorders>
              <w:bottom w:val="single" w:color="auto" w:sz="4" w:space="0"/>
            </w:tcBorders>
            <w:noWrap w:val="0"/>
            <w:vAlign w:val="center"/>
          </w:tcPr>
          <w:p>
            <w:pPr>
              <w:keepNext w:val="0"/>
              <w:keepLines w:val="0"/>
              <w:pageBreakBefore w:val="0"/>
              <w:kinsoku/>
              <w:wordWrap/>
              <w:overflowPunct/>
              <w:topLinePunct w:val="0"/>
              <w:autoSpaceDE/>
              <w:autoSpaceDN/>
              <w:bidi w:val="0"/>
              <w:spacing w:after="0" w:line="240" w:lineRule="auto"/>
              <w:ind w:firstLine="0" w:firstLineChars="0"/>
              <w:contextualSpacing/>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134396</w:t>
            </w:r>
          </w:p>
        </w:tc>
        <w:tc>
          <w:tcPr>
            <w:tcW w:w="686" w:type="pct"/>
            <w:gridSpan w:val="2"/>
            <w:tcBorders>
              <w:bottom w:val="single" w:color="auto" w:sz="4" w:space="0"/>
            </w:tcBorders>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bCs/>
                <w:color w:val="auto"/>
                <w:sz w:val="21"/>
                <w:szCs w:val="21"/>
              </w:rPr>
            </w:pPr>
            <w:r>
              <w:rPr>
                <w:rFonts w:hint="eastAsia" w:ascii="宋体" w:hAnsi="宋体" w:eastAsia="宋体" w:cs="宋体"/>
                <w:bCs/>
                <w:color w:val="auto"/>
                <w:sz w:val="21"/>
                <w:szCs w:val="21"/>
                <w:lang w:val="en-US" w:eastAsia="zh-CN" w:bidi="ar-SA"/>
              </w:rPr>
              <w:t>较轻</w:t>
            </w:r>
          </w:p>
        </w:tc>
        <w:tc>
          <w:tcPr>
            <w:tcW w:w="561" w:type="pct"/>
            <w:gridSpan w:val="2"/>
            <w:tcBorders>
              <w:bottom w:val="single" w:color="auto" w:sz="4" w:space="0"/>
            </w:tcBorders>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较轻</w:t>
            </w:r>
          </w:p>
        </w:tc>
        <w:tc>
          <w:tcPr>
            <w:tcW w:w="701" w:type="pct"/>
            <w:tcBorders>
              <w:bottom w:val="single" w:color="auto" w:sz="4" w:space="0"/>
            </w:tcBorders>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严重</w:t>
            </w:r>
          </w:p>
        </w:tc>
        <w:tc>
          <w:tcPr>
            <w:tcW w:w="711" w:type="pct"/>
            <w:tcBorders>
              <w:bottom w:val="single" w:color="auto" w:sz="4" w:space="0"/>
            </w:tcBorders>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重</w:t>
            </w:r>
            <w:r>
              <w:rPr>
                <w:rFonts w:hint="eastAsia" w:ascii="宋体" w:hAnsi="宋体" w:eastAsia="宋体" w:cs="宋体"/>
                <w:color w:val="auto"/>
                <w:sz w:val="21"/>
                <w:szCs w:val="21"/>
              </w:rPr>
              <w:t>度</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1218" w:type="pct"/>
            <w:tcBorders>
              <w:top w:val="single" w:color="auto" w:sz="4" w:space="0"/>
            </w:tcBorders>
            <w:noWrap w:val="0"/>
            <w:vAlign w:val="center"/>
          </w:tcPr>
          <w:p>
            <w:pPr>
              <w:keepNext w:val="0"/>
              <w:keepLines w:val="0"/>
              <w:pageBreakBefore w:val="0"/>
              <w:kinsoku/>
              <w:wordWrap/>
              <w:overflowPunct/>
              <w:topLinePunct w:val="0"/>
              <w:autoSpaceDE/>
              <w:autoSpaceDN/>
              <w:bidi w:val="0"/>
              <w:spacing w:after="0" w:line="240" w:lineRule="auto"/>
              <w:ind w:firstLine="0" w:firstLineChars="0"/>
              <w:contextualSpacing/>
              <w:jc w:val="center"/>
              <w:textAlignment w:val="auto"/>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rPr>
              <w:t>渣堆2</w:t>
            </w:r>
          </w:p>
        </w:tc>
        <w:tc>
          <w:tcPr>
            <w:tcW w:w="442" w:type="pct"/>
            <w:tcBorders>
              <w:top w:val="single" w:color="auto" w:sz="4" w:space="0"/>
            </w:tcBorders>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Ⅱ</w:t>
            </w:r>
            <w:r>
              <w:rPr>
                <w:rFonts w:hint="eastAsia" w:ascii="宋体" w:hAnsi="宋体" w:eastAsia="宋体" w:cs="宋体"/>
                <w:color w:val="auto"/>
                <w:sz w:val="21"/>
                <w:szCs w:val="21"/>
                <w:vertAlign w:val="subscript"/>
                <w:lang w:val="en-US" w:eastAsia="zh-CN"/>
              </w:rPr>
              <w:t>6</w:t>
            </w:r>
          </w:p>
        </w:tc>
        <w:tc>
          <w:tcPr>
            <w:tcW w:w="679" w:type="pct"/>
            <w:tcBorders>
              <w:top w:val="single" w:color="auto" w:sz="4" w:space="0"/>
            </w:tcBorders>
            <w:noWrap w:val="0"/>
            <w:vAlign w:val="center"/>
          </w:tcPr>
          <w:p>
            <w:pPr>
              <w:keepNext w:val="0"/>
              <w:keepLines w:val="0"/>
              <w:pageBreakBefore w:val="0"/>
              <w:kinsoku/>
              <w:wordWrap/>
              <w:overflowPunct/>
              <w:topLinePunct w:val="0"/>
              <w:autoSpaceDE/>
              <w:autoSpaceDN/>
              <w:bidi w:val="0"/>
              <w:spacing w:after="0" w:line="240" w:lineRule="auto"/>
              <w:ind w:firstLine="0" w:firstLineChars="0"/>
              <w:contextualSpacing/>
              <w:jc w:val="center"/>
              <w:textAlignment w:val="auto"/>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rPr>
              <w:t>1409</w:t>
            </w:r>
          </w:p>
        </w:tc>
        <w:tc>
          <w:tcPr>
            <w:tcW w:w="686" w:type="pct"/>
            <w:gridSpan w:val="2"/>
            <w:tcBorders>
              <w:top w:val="single" w:color="auto" w:sz="4" w:space="0"/>
            </w:tcBorders>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bCs/>
                <w:color w:val="auto"/>
                <w:sz w:val="21"/>
                <w:szCs w:val="21"/>
                <w:lang w:val="en-US" w:eastAsia="zh-CN" w:bidi="ar-SA"/>
              </w:rPr>
            </w:pPr>
            <w:r>
              <w:rPr>
                <w:rFonts w:hint="eastAsia" w:ascii="宋体" w:hAnsi="宋体" w:eastAsia="宋体" w:cs="宋体"/>
                <w:bCs/>
                <w:color w:val="auto"/>
                <w:sz w:val="21"/>
                <w:szCs w:val="21"/>
                <w:lang w:val="en-US" w:eastAsia="zh-CN" w:bidi="ar-SA"/>
              </w:rPr>
              <w:t>较轻</w:t>
            </w:r>
          </w:p>
        </w:tc>
        <w:tc>
          <w:tcPr>
            <w:tcW w:w="561" w:type="pct"/>
            <w:gridSpan w:val="2"/>
            <w:tcBorders>
              <w:top w:val="single" w:color="auto" w:sz="4" w:space="0"/>
            </w:tcBorders>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rPr>
              <w:t>较轻</w:t>
            </w:r>
          </w:p>
        </w:tc>
        <w:tc>
          <w:tcPr>
            <w:tcW w:w="701" w:type="pct"/>
            <w:tcBorders>
              <w:top w:val="single" w:color="auto" w:sz="4" w:space="0"/>
            </w:tcBorders>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rPr>
              <w:t>较严重</w:t>
            </w:r>
          </w:p>
        </w:tc>
        <w:tc>
          <w:tcPr>
            <w:tcW w:w="711" w:type="pct"/>
            <w:tcBorders>
              <w:top w:val="single" w:color="auto" w:sz="4" w:space="0"/>
            </w:tcBorders>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rPr>
              <w:t>中度</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1218" w:type="pct"/>
            <w:tcBorders>
              <w:top w:val="single" w:color="auto" w:sz="4" w:space="0"/>
            </w:tcBorders>
            <w:noWrap w:val="0"/>
            <w:vAlign w:val="center"/>
          </w:tcPr>
          <w:p>
            <w:pPr>
              <w:keepNext w:val="0"/>
              <w:keepLines w:val="0"/>
              <w:pageBreakBefore w:val="0"/>
              <w:kinsoku/>
              <w:wordWrap/>
              <w:overflowPunct/>
              <w:topLinePunct w:val="0"/>
              <w:autoSpaceDE/>
              <w:autoSpaceDN/>
              <w:bidi w:val="0"/>
              <w:spacing w:after="0" w:line="240" w:lineRule="auto"/>
              <w:ind w:firstLine="0" w:firstLineChars="0"/>
              <w:contextualSpacing/>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渣堆3</w:t>
            </w:r>
          </w:p>
        </w:tc>
        <w:tc>
          <w:tcPr>
            <w:tcW w:w="442" w:type="pct"/>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Ⅱ</w:t>
            </w:r>
            <w:r>
              <w:rPr>
                <w:rFonts w:hint="eastAsia" w:ascii="宋体" w:hAnsi="宋体" w:eastAsia="宋体" w:cs="宋体"/>
                <w:color w:val="auto"/>
                <w:sz w:val="21"/>
                <w:szCs w:val="21"/>
                <w:vertAlign w:val="subscript"/>
                <w:lang w:val="en-US" w:eastAsia="zh-CN"/>
              </w:rPr>
              <w:t>7</w:t>
            </w:r>
          </w:p>
        </w:tc>
        <w:tc>
          <w:tcPr>
            <w:tcW w:w="679" w:type="pct"/>
            <w:noWrap w:val="0"/>
            <w:vAlign w:val="center"/>
          </w:tcPr>
          <w:p>
            <w:pPr>
              <w:keepNext w:val="0"/>
              <w:keepLines w:val="0"/>
              <w:pageBreakBefore w:val="0"/>
              <w:kinsoku/>
              <w:wordWrap/>
              <w:overflowPunct/>
              <w:topLinePunct w:val="0"/>
              <w:autoSpaceDE/>
              <w:autoSpaceDN/>
              <w:bidi w:val="0"/>
              <w:spacing w:after="0" w:line="240" w:lineRule="auto"/>
              <w:ind w:firstLine="0" w:firstLineChars="0"/>
              <w:contextualSpacing/>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25409</w:t>
            </w:r>
          </w:p>
        </w:tc>
        <w:tc>
          <w:tcPr>
            <w:tcW w:w="686" w:type="pct"/>
            <w:gridSpan w:val="2"/>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bCs/>
                <w:color w:val="auto"/>
                <w:sz w:val="21"/>
                <w:szCs w:val="21"/>
              </w:rPr>
            </w:pPr>
            <w:r>
              <w:rPr>
                <w:rFonts w:hint="eastAsia" w:ascii="宋体" w:hAnsi="宋体" w:eastAsia="宋体" w:cs="宋体"/>
                <w:bCs/>
                <w:color w:val="auto"/>
                <w:sz w:val="21"/>
                <w:szCs w:val="21"/>
                <w:lang w:val="en-US" w:eastAsia="zh-CN" w:bidi="ar-SA"/>
              </w:rPr>
              <w:t>较轻</w:t>
            </w:r>
          </w:p>
        </w:tc>
        <w:tc>
          <w:tcPr>
            <w:tcW w:w="561" w:type="pct"/>
            <w:gridSpan w:val="2"/>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较轻</w:t>
            </w:r>
          </w:p>
        </w:tc>
        <w:tc>
          <w:tcPr>
            <w:tcW w:w="701" w:type="pct"/>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较严重</w:t>
            </w:r>
          </w:p>
        </w:tc>
        <w:tc>
          <w:tcPr>
            <w:tcW w:w="711" w:type="pct"/>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中度</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1218" w:type="pct"/>
            <w:tcBorders>
              <w:top w:val="single" w:color="auto" w:sz="4" w:space="0"/>
            </w:tcBorders>
            <w:noWrap w:val="0"/>
            <w:vAlign w:val="center"/>
          </w:tcPr>
          <w:p>
            <w:pPr>
              <w:keepNext w:val="0"/>
              <w:keepLines w:val="0"/>
              <w:pageBreakBefore w:val="0"/>
              <w:kinsoku/>
              <w:wordWrap/>
              <w:overflowPunct/>
              <w:topLinePunct w:val="0"/>
              <w:autoSpaceDE/>
              <w:autoSpaceDN/>
              <w:bidi w:val="0"/>
              <w:spacing w:after="0" w:line="240" w:lineRule="auto"/>
              <w:ind w:firstLine="0" w:firstLineChars="0"/>
              <w:contextualSpacing/>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矿区道路</w:t>
            </w:r>
          </w:p>
        </w:tc>
        <w:tc>
          <w:tcPr>
            <w:tcW w:w="442" w:type="pct"/>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Ⅱ</w:t>
            </w:r>
            <w:r>
              <w:rPr>
                <w:rFonts w:hint="eastAsia" w:ascii="宋体" w:hAnsi="宋体" w:eastAsia="宋体" w:cs="宋体"/>
                <w:color w:val="auto"/>
                <w:sz w:val="21"/>
                <w:szCs w:val="21"/>
                <w:vertAlign w:val="subscript"/>
                <w:lang w:val="en-US" w:eastAsia="zh-CN"/>
              </w:rPr>
              <w:t>8</w:t>
            </w:r>
          </w:p>
        </w:tc>
        <w:tc>
          <w:tcPr>
            <w:tcW w:w="679" w:type="pct"/>
            <w:noWrap w:val="0"/>
            <w:vAlign w:val="center"/>
          </w:tcPr>
          <w:p>
            <w:pPr>
              <w:keepNext w:val="0"/>
              <w:keepLines w:val="0"/>
              <w:pageBreakBefore w:val="0"/>
              <w:kinsoku/>
              <w:wordWrap/>
              <w:overflowPunct/>
              <w:topLinePunct w:val="0"/>
              <w:autoSpaceDE/>
              <w:autoSpaceDN/>
              <w:bidi w:val="0"/>
              <w:spacing w:after="0" w:line="240" w:lineRule="auto"/>
              <w:ind w:firstLine="0" w:firstLineChars="0"/>
              <w:contextualSpacing/>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2286</w:t>
            </w:r>
          </w:p>
        </w:tc>
        <w:tc>
          <w:tcPr>
            <w:tcW w:w="686" w:type="pct"/>
            <w:gridSpan w:val="2"/>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bCs/>
                <w:color w:val="auto"/>
                <w:sz w:val="21"/>
                <w:szCs w:val="21"/>
              </w:rPr>
            </w:pPr>
            <w:r>
              <w:rPr>
                <w:rFonts w:hint="eastAsia" w:ascii="宋体" w:hAnsi="宋体" w:eastAsia="宋体" w:cs="宋体"/>
                <w:bCs/>
                <w:color w:val="auto"/>
                <w:sz w:val="21"/>
                <w:szCs w:val="21"/>
                <w:lang w:val="en-US" w:eastAsia="zh-CN" w:bidi="ar-SA"/>
              </w:rPr>
              <w:t>较轻</w:t>
            </w:r>
          </w:p>
        </w:tc>
        <w:tc>
          <w:tcPr>
            <w:tcW w:w="561" w:type="pct"/>
            <w:gridSpan w:val="2"/>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较轻</w:t>
            </w:r>
          </w:p>
        </w:tc>
        <w:tc>
          <w:tcPr>
            <w:tcW w:w="701" w:type="pct"/>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较严重</w:t>
            </w:r>
          </w:p>
        </w:tc>
        <w:tc>
          <w:tcPr>
            <w:tcW w:w="711" w:type="pct"/>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中度</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1218" w:type="pct"/>
            <w:tcBorders>
              <w:top w:val="single" w:color="auto" w:sz="4" w:space="0"/>
            </w:tcBorders>
            <w:noWrap w:val="0"/>
            <w:vAlign w:val="center"/>
          </w:tcPr>
          <w:p>
            <w:pPr>
              <w:keepNext w:val="0"/>
              <w:keepLines w:val="0"/>
              <w:pageBreakBefore w:val="0"/>
              <w:kinsoku/>
              <w:wordWrap/>
              <w:overflowPunct/>
              <w:topLinePunct w:val="0"/>
              <w:autoSpaceDE/>
              <w:autoSpaceDN/>
              <w:bidi w:val="0"/>
              <w:spacing w:after="0" w:line="240" w:lineRule="auto"/>
              <w:ind w:firstLine="0" w:firstLineChars="0"/>
              <w:contextualSpacing/>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工业场地</w:t>
            </w:r>
          </w:p>
        </w:tc>
        <w:tc>
          <w:tcPr>
            <w:tcW w:w="442" w:type="pct"/>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Ⅱ</w:t>
            </w:r>
            <w:r>
              <w:rPr>
                <w:rFonts w:hint="eastAsia" w:ascii="宋体" w:hAnsi="宋体" w:eastAsia="宋体" w:cs="宋体"/>
                <w:color w:val="auto"/>
                <w:sz w:val="21"/>
                <w:szCs w:val="21"/>
                <w:vertAlign w:val="subscript"/>
                <w:lang w:val="en-US" w:eastAsia="zh-CN"/>
              </w:rPr>
              <w:t>9</w:t>
            </w:r>
          </w:p>
        </w:tc>
        <w:tc>
          <w:tcPr>
            <w:tcW w:w="679" w:type="pct"/>
            <w:noWrap w:val="0"/>
            <w:vAlign w:val="center"/>
          </w:tcPr>
          <w:p>
            <w:pPr>
              <w:keepNext w:val="0"/>
              <w:keepLines w:val="0"/>
              <w:pageBreakBefore w:val="0"/>
              <w:kinsoku/>
              <w:wordWrap/>
              <w:overflowPunct/>
              <w:topLinePunct w:val="0"/>
              <w:autoSpaceDE/>
              <w:autoSpaceDN/>
              <w:bidi w:val="0"/>
              <w:spacing w:after="0" w:line="240" w:lineRule="auto"/>
              <w:ind w:firstLine="0" w:firstLineChars="0"/>
              <w:contextualSpacing/>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9878</w:t>
            </w:r>
          </w:p>
        </w:tc>
        <w:tc>
          <w:tcPr>
            <w:tcW w:w="686" w:type="pct"/>
            <w:gridSpan w:val="2"/>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bCs/>
                <w:color w:val="auto"/>
                <w:sz w:val="21"/>
                <w:szCs w:val="21"/>
              </w:rPr>
            </w:pPr>
            <w:r>
              <w:rPr>
                <w:rFonts w:hint="eastAsia" w:ascii="宋体" w:hAnsi="宋体" w:eastAsia="宋体" w:cs="宋体"/>
                <w:bCs/>
                <w:color w:val="auto"/>
                <w:sz w:val="21"/>
                <w:szCs w:val="21"/>
                <w:lang w:val="en-US" w:eastAsia="zh-CN" w:bidi="ar-SA"/>
              </w:rPr>
              <w:t>较轻</w:t>
            </w:r>
          </w:p>
        </w:tc>
        <w:tc>
          <w:tcPr>
            <w:tcW w:w="561" w:type="pct"/>
            <w:gridSpan w:val="2"/>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较轻</w:t>
            </w:r>
          </w:p>
        </w:tc>
        <w:tc>
          <w:tcPr>
            <w:tcW w:w="701" w:type="pct"/>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较严重</w:t>
            </w:r>
          </w:p>
        </w:tc>
        <w:tc>
          <w:tcPr>
            <w:tcW w:w="711" w:type="pct"/>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中度</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1218" w:type="pct"/>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合计</w:t>
            </w:r>
          </w:p>
        </w:tc>
        <w:tc>
          <w:tcPr>
            <w:tcW w:w="442" w:type="pct"/>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w:t>
            </w:r>
          </w:p>
        </w:tc>
        <w:tc>
          <w:tcPr>
            <w:tcW w:w="680" w:type="pct"/>
            <w:gridSpan w:val="2"/>
            <w:tcBorders>
              <w:right w:val="single" w:color="auto" w:sz="4" w:space="0"/>
            </w:tcBorders>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b/>
                <w:bCs/>
                <w:color w:val="auto"/>
                <w:sz w:val="21"/>
                <w:szCs w:val="21"/>
                <w:lang w:val="en-US"/>
              </w:rPr>
            </w:pPr>
            <w:r>
              <w:rPr>
                <w:rFonts w:hint="eastAsia" w:ascii="宋体" w:hAnsi="宋体" w:eastAsia="宋体" w:cs="宋体"/>
                <w:b/>
                <w:bCs/>
                <w:color w:val="auto"/>
                <w:sz w:val="21"/>
                <w:szCs w:val="21"/>
                <w:lang w:val="en-US" w:eastAsia="zh-CN"/>
              </w:rPr>
              <w:t>217297</w:t>
            </w:r>
          </w:p>
        </w:tc>
        <w:tc>
          <w:tcPr>
            <w:tcW w:w="686" w:type="pct"/>
            <w:gridSpan w:val="2"/>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rPr>
              <w:t>--</w:t>
            </w:r>
          </w:p>
        </w:tc>
        <w:tc>
          <w:tcPr>
            <w:tcW w:w="560" w:type="pct"/>
            <w:tcBorders>
              <w:left w:val="single" w:color="auto" w:sz="4" w:space="0"/>
            </w:tcBorders>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rPr>
              <w:t>--</w:t>
            </w:r>
          </w:p>
        </w:tc>
        <w:tc>
          <w:tcPr>
            <w:tcW w:w="701" w:type="pct"/>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w:t>
            </w:r>
          </w:p>
        </w:tc>
        <w:tc>
          <w:tcPr>
            <w:tcW w:w="711" w:type="pct"/>
            <w:noWrap w:val="0"/>
            <w:vAlign w:val="center"/>
          </w:tcPr>
          <w:p>
            <w:pPr>
              <w:keepNext w:val="0"/>
              <w:keepLines w:val="0"/>
              <w:pageBreakBefore w:val="0"/>
              <w:kinsoku/>
              <w:wordWrap/>
              <w:overflowPunct/>
              <w:topLinePunct w:val="0"/>
              <w:autoSpaceDE/>
              <w:autoSpaceDN/>
              <w:bidi w:val="0"/>
              <w:spacing w:after="0" w:line="240" w:lineRule="auto"/>
              <w:ind w:firstLine="0" w:firstLineChars="0"/>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w:t>
            </w:r>
          </w:p>
        </w:tc>
      </w:tr>
    </w:tbl>
    <w:p>
      <w:pPr>
        <w:ind w:firstLine="480"/>
        <w:rPr>
          <w:rFonts w:hint="eastAsia" w:ascii="宋体" w:hAnsi="宋体" w:eastAsia="宋体" w:cs="宋体"/>
          <w:color w:val="auto"/>
        </w:rPr>
      </w:pPr>
    </w:p>
    <w:p>
      <w:pPr>
        <w:ind w:firstLine="480"/>
        <w:rPr>
          <w:rFonts w:hint="eastAsia" w:ascii="宋体" w:hAnsi="宋体" w:eastAsia="宋体" w:cs="宋体"/>
          <w:color w:val="auto"/>
        </w:rPr>
      </w:pPr>
    </w:p>
    <w:p>
      <w:pPr>
        <w:ind w:firstLine="480"/>
        <w:rPr>
          <w:rFonts w:hint="eastAsia" w:ascii="宋体" w:hAnsi="宋体" w:eastAsia="宋体" w:cs="宋体"/>
          <w:color w:val="auto"/>
        </w:rPr>
      </w:pPr>
    </w:p>
    <w:p>
      <w:pPr>
        <w:ind w:firstLine="480"/>
        <w:rPr>
          <w:rFonts w:hint="eastAsia" w:ascii="宋体" w:hAnsi="宋体" w:eastAsia="宋体" w:cs="宋体"/>
          <w:color w:val="auto"/>
        </w:rPr>
      </w:pPr>
    </w:p>
    <w:p>
      <w:pPr>
        <w:ind w:firstLine="480"/>
        <w:rPr>
          <w:rFonts w:hint="eastAsia" w:ascii="宋体" w:hAnsi="宋体" w:eastAsia="宋体" w:cs="宋体"/>
          <w:color w:val="auto"/>
        </w:rPr>
      </w:pPr>
    </w:p>
    <w:p>
      <w:pPr>
        <w:ind w:firstLine="480"/>
        <w:rPr>
          <w:rFonts w:hint="eastAsia" w:ascii="宋体" w:hAnsi="宋体" w:eastAsia="宋体" w:cs="宋体"/>
          <w:color w:val="auto"/>
        </w:rPr>
      </w:pPr>
    </w:p>
    <w:p>
      <w:pPr>
        <w:ind w:firstLine="480"/>
        <w:rPr>
          <w:rFonts w:hint="eastAsia" w:ascii="宋体" w:hAnsi="宋体" w:eastAsia="宋体" w:cs="宋体"/>
          <w:color w:val="auto"/>
        </w:rPr>
      </w:pPr>
    </w:p>
    <w:p>
      <w:pPr>
        <w:ind w:firstLine="480"/>
        <w:rPr>
          <w:rFonts w:hint="eastAsia" w:ascii="宋体" w:hAnsi="宋体" w:eastAsia="宋体" w:cs="宋体"/>
          <w:color w:val="auto"/>
        </w:rPr>
      </w:pPr>
    </w:p>
    <w:p>
      <w:pPr>
        <w:ind w:firstLine="480"/>
        <w:rPr>
          <w:rFonts w:hint="eastAsia" w:ascii="宋体" w:hAnsi="宋体" w:eastAsia="宋体" w:cs="宋体"/>
          <w:color w:val="auto"/>
        </w:rPr>
      </w:pPr>
    </w:p>
    <w:p>
      <w:pPr>
        <w:ind w:firstLine="480"/>
        <w:rPr>
          <w:rFonts w:hint="eastAsia" w:ascii="宋体" w:hAnsi="宋体" w:eastAsia="宋体" w:cs="宋体"/>
          <w:color w:val="auto"/>
        </w:rPr>
      </w:pPr>
    </w:p>
    <w:p>
      <w:pPr>
        <w:ind w:firstLine="480"/>
        <w:rPr>
          <w:rFonts w:hint="eastAsia" w:ascii="宋体" w:hAnsi="宋体" w:eastAsia="宋体" w:cs="宋体"/>
          <w:color w:val="auto"/>
        </w:rPr>
      </w:pPr>
    </w:p>
    <w:p>
      <w:pPr>
        <w:ind w:firstLine="480"/>
        <w:rPr>
          <w:rFonts w:hint="eastAsia" w:ascii="宋体" w:hAnsi="宋体" w:eastAsia="宋体" w:cs="宋体"/>
          <w:color w:val="auto"/>
        </w:rPr>
      </w:pPr>
    </w:p>
    <w:p>
      <w:pPr>
        <w:ind w:firstLine="480"/>
        <w:rPr>
          <w:rFonts w:hint="eastAsia" w:ascii="宋体" w:hAnsi="宋体" w:eastAsia="宋体" w:cs="宋体"/>
          <w:color w:val="auto"/>
        </w:rPr>
      </w:pPr>
    </w:p>
    <w:p>
      <w:pPr>
        <w:ind w:firstLine="480"/>
        <w:rPr>
          <w:rFonts w:hint="eastAsia" w:ascii="宋体" w:hAnsi="宋体" w:eastAsia="宋体" w:cs="宋体"/>
          <w:color w:val="auto"/>
        </w:rPr>
      </w:pPr>
    </w:p>
    <w:p>
      <w:pPr>
        <w:ind w:firstLine="480"/>
        <w:rPr>
          <w:rFonts w:hint="eastAsia" w:ascii="宋体" w:hAnsi="宋体" w:eastAsia="宋体" w:cs="宋体"/>
          <w:color w:val="auto"/>
        </w:rPr>
      </w:pPr>
    </w:p>
    <w:p>
      <w:pPr>
        <w:ind w:firstLine="480"/>
        <w:rPr>
          <w:rFonts w:hint="eastAsia" w:ascii="宋体" w:hAnsi="宋体" w:eastAsia="宋体" w:cs="宋体"/>
          <w:color w:val="auto"/>
        </w:rPr>
      </w:pPr>
    </w:p>
    <w:p>
      <w:pPr>
        <w:pStyle w:val="4"/>
        <w:pageBreakBefore w:val="0"/>
        <w:adjustRightInd/>
        <w:snapToGrid/>
        <w:rPr>
          <w:rFonts w:hint="eastAsia" w:ascii="宋体" w:hAnsi="宋体" w:eastAsia="宋体" w:cs="宋体"/>
          <w:color w:val="auto"/>
          <w:sz w:val="32"/>
          <w:szCs w:val="32"/>
        </w:rPr>
      </w:pPr>
      <w:bookmarkStart w:id="32" w:name="_Toc3646"/>
      <w:r>
        <w:rPr>
          <w:rFonts w:hint="eastAsia" w:ascii="宋体" w:hAnsi="宋体" w:eastAsia="宋体" w:cs="宋体"/>
          <w:color w:val="auto"/>
          <w:sz w:val="36"/>
          <w:szCs w:val="36"/>
        </w:rPr>
        <w:t>五、矿山地质环境防治工程</w:t>
      </w:r>
      <w:bookmarkEnd w:id="32"/>
    </w:p>
    <w:p>
      <w:pPr>
        <w:spacing w:line="360" w:lineRule="auto"/>
        <w:ind w:left="0" w:leftChars="0" w:firstLine="0" w:firstLineChars="0"/>
        <w:jc w:val="left"/>
        <w:rPr>
          <w:rFonts w:hint="eastAsia" w:ascii="宋体" w:hAnsi="宋体" w:eastAsia="宋体" w:cs="宋体"/>
          <w:b/>
          <w:bCs/>
          <w:color w:val="auto"/>
          <w:sz w:val="24"/>
          <w:szCs w:val="24"/>
          <w:lang w:eastAsia="zh-CN"/>
        </w:rPr>
      </w:pPr>
      <w:bookmarkStart w:id="33" w:name="_Toc37410077"/>
      <w:bookmarkStart w:id="34" w:name="_Toc37410078"/>
      <w:r>
        <w:rPr>
          <w:rFonts w:hint="eastAsia" w:ascii="宋体" w:hAnsi="宋体" w:eastAsia="宋体" w:cs="宋体"/>
          <w:b/>
          <w:bCs/>
          <w:color w:val="auto"/>
          <w:sz w:val="28"/>
          <w:szCs w:val="28"/>
        </w:rPr>
        <w:t>（一）矿山地质环境治理区的确定</w:t>
      </w:r>
      <w:bookmarkEnd w:id="33"/>
    </w:p>
    <w:p>
      <w:pPr>
        <w:spacing w:line="360" w:lineRule="auto"/>
        <w:ind w:firstLine="482" w:firstLineChars="200"/>
        <w:jc w:val="left"/>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lang w:eastAsia="zh-CN"/>
        </w:rPr>
        <w:t>1、治理区及土地复垦责任区确定的原则、依据</w:t>
      </w:r>
    </w:p>
    <w:p>
      <w:pPr>
        <w:spacing w:line="360" w:lineRule="auto"/>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根据矿山地质环境影响现状和预测结果，进行治理区的确定。</w:t>
      </w:r>
    </w:p>
    <w:p>
      <w:pPr>
        <w:spacing w:line="360" w:lineRule="auto"/>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治理区的确定要与矿业生产相协调，应治、可治场地必须治理。</w:t>
      </w:r>
    </w:p>
    <w:p>
      <w:pPr>
        <w:spacing w:line="360" w:lineRule="auto"/>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lang w:eastAsia="zh-CN"/>
        </w:rPr>
        <w:t>）结合综合治理方案</w:t>
      </w:r>
      <w:r>
        <w:rPr>
          <w:rFonts w:hint="eastAsia" w:ascii="宋体" w:hAnsi="宋体" w:eastAsia="宋体" w:cs="宋体"/>
          <w:color w:val="auto"/>
          <w:sz w:val="24"/>
          <w:szCs w:val="24"/>
        </w:rPr>
        <w:t>，对于</w:t>
      </w:r>
      <w:r>
        <w:rPr>
          <w:rFonts w:hint="eastAsia" w:ascii="宋体" w:hAnsi="宋体" w:eastAsia="宋体" w:cs="宋体"/>
          <w:color w:val="auto"/>
          <w:sz w:val="24"/>
          <w:szCs w:val="24"/>
          <w:lang w:eastAsia="zh-CN"/>
        </w:rPr>
        <w:t>综合</w:t>
      </w:r>
      <w:r>
        <w:rPr>
          <w:rFonts w:hint="eastAsia" w:ascii="宋体" w:hAnsi="宋体" w:eastAsia="宋体" w:cs="宋体"/>
          <w:color w:val="auto"/>
          <w:sz w:val="24"/>
          <w:szCs w:val="24"/>
        </w:rPr>
        <w:t>治理方案</w:t>
      </w:r>
      <w:r>
        <w:rPr>
          <w:rFonts w:hint="eastAsia" w:ascii="宋体" w:hAnsi="宋体" w:eastAsia="宋体" w:cs="宋体"/>
          <w:color w:val="auto"/>
          <w:sz w:val="24"/>
          <w:szCs w:val="24"/>
          <w:lang w:eastAsia="zh-CN"/>
        </w:rPr>
        <w:t>设计治理工程逐一</w:t>
      </w:r>
      <w:r>
        <w:rPr>
          <w:rFonts w:hint="eastAsia" w:ascii="宋体" w:hAnsi="宋体" w:eastAsia="宋体" w:cs="宋体"/>
          <w:color w:val="auto"/>
          <w:sz w:val="24"/>
          <w:szCs w:val="24"/>
        </w:rPr>
        <w:t>列入</w:t>
      </w:r>
      <w:r>
        <w:rPr>
          <w:rFonts w:hint="eastAsia" w:ascii="宋体" w:hAnsi="宋体" w:eastAsia="宋体" w:cs="宋体"/>
          <w:color w:val="auto"/>
          <w:sz w:val="24"/>
          <w:szCs w:val="24"/>
          <w:lang w:eastAsia="zh-CN"/>
        </w:rPr>
        <w:t>本年度治理</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此</w:t>
      </w:r>
      <w:r>
        <w:rPr>
          <w:rFonts w:hint="eastAsia" w:ascii="宋体" w:hAnsi="宋体" w:eastAsia="宋体" w:cs="宋体"/>
          <w:color w:val="auto"/>
          <w:sz w:val="24"/>
          <w:szCs w:val="24"/>
        </w:rPr>
        <w:t>为主要治理内容。</w:t>
      </w:r>
    </w:p>
    <w:p>
      <w:pPr>
        <w:spacing w:line="360" w:lineRule="auto"/>
        <w:ind w:firstLine="480"/>
        <w:jc w:val="left"/>
        <w:rPr>
          <w:rFonts w:hint="eastAsia" w:ascii="宋体" w:hAnsi="宋体" w:eastAsia="宋体" w:cs="宋体"/>
          <w:color w:val="auto"/>
          <w:sz w:val="24"/>
          <w:szCs w:val="24"/>
        </w:rPr>
      </w:pPr>
      <w:r>
        <w:rPr>
          <w:rFonts w:hint="eastAsia" w:ascii="宋体" w:hAnsi="宋体" w:eastAsia="宋体" w:cs="宋体"/>
          <w:b/>
          <w:bCs/>
          <w:color w:val="auto"/>
          <w:sz w:val="24"/>
          <w:szCs w:val="24"/>
          <w:lang w:val="en-US" w:eastAsia="zh-CN"/>
        </w:rPr>
        <w:t>2</w:t>
      </w:r>
      <w:r>
        <w:rPr>
          <w:rFonts w:hint="eastAsia" w:ascii="宋体" w:hAnsi="宋体" w:eastAsia="宋体" w:cs="宋体"/>
          <w:b/>
          <w:bCs/>
          <w:color w:val="auto"/>
          <w:sz w:val="24"/>
          <w:szCs w:val="24"/>
          <w:lang w:eastAsia="zh-CN"/>
        </w:rPr>
        <w:t>、</w:t>
      </w:r>
      <w:r>
        <w:rPr>
          <w:rFonts w:hint="eastAsia" w:ascii="宋体" w:hAnsi="宋体" w:eastAsia="宋体" w:cs="宋体"/>
          <w:b/>
          <w:bCs/>
          <w:color w:val="auto"/>
          <w:sz w:val="24"/>
          <w:szCs w:val="24"/>
        </w:rPr>
        <w:t>治理区及土地复垦责任区确定</w:t>
      </w:r>
    </w:p>
    <w:p>
      <w:pPr>
        <w:widowControl/>
        <w:spacing w:line="360" w:lineRule="auto"/>
        <w:ind w:firstLine="480" w:firstLineChars="0"/>
        <w:jc w:val="left"/>
        <w:rPr>
          <w:rFonts w:hint="eastAsia" w:ascii="宋体" w:hAnsi="宋体" w:eastAsia="宋体" w:cs="宋体"/>
          <w:color w:val="auto"/>
          <w:sz w:val="24"/>
          <w:szCs w:val="24"/>
          <w:lang w:val="en-US" w:eastAsia="zh-CN"/>
        </w:rPr>
      </w:pPr>
      <w:r>
        <w:rPr>
          <w:rFonts w:hint="eastAsia" w:ascii="宋体" w:hAnsi="宋体" w:eastAsia="宋体" w:cs="宋体"/>
          <w:b w:val="0"/>
          <w:bCs w:val="0"/>
          <w:color w:val="auto"/>
          <w:sz w:val="24"/>
          <w:szCs w:val="24"/>
          <w:lang w:eastAsia="zh-CN"/>
        </w:rPr>
        <w:t>根据矿山实地调查，矿山已编制综合治理方案，各单元地质环境现状与综合治理方案基本一致。因综合治理方案首期设计治理的</w:t>
      </w:r>
      <w:r>
        <w:rPr>
          <w:rFonts w:hint="eastAsia" w:ascii="宋体" w:hAnsi="宋体" w:eastAsia="宋体" w:cs="宋体"/>
          <w:b w:val="0"/>
          <w:bCs w:val="0"/>
          <w:color w:val="auto"/>
          <w:sz w:val="24"/>
          <w:szCs w:val="24"/>
          <w:lang w:val="en-US" w:eastAsia="zh-CN"/>
        </w:rPr>
        <w:t>原废石场进行清运，因工程量较大，现状无排渣场地，待后期矿山正常生产后再对其进行清运，本年度不设计治理；</w:t>
      </w:r>
      <w:r>
        <w:rPr>
          <w:rFonts w:hint="eastAsia" w:ascii="宋体" w:hAnsi="宋体" w:eastAsia="宋体" w:cs="宋体"/>
          <w:b w:val="0"/>
          <w:bCs w:val="0"/>
          <w:color w:val="auto"/>
          <w:sz w:val="24"/>
          <w:szCs w:val="24"/>
          <w:lang w:eastAsia="zh-CN"/>
        </w:rPr>
        <w:t>经与采矿权人沟通，结合矿山采掘现状，确定</w:t>
      </w:r>
      <w:r>
        <w:rPr>
          <w:rFonts w:hint="eastAsia" w:ascii="宋体" w:hAnsi="宋体" w:eastAsia="宋体" w:cs="宋体"/>
          <w:color w:val="auto"/>
          <w:sz w:val="24"/>
          <w:szCs w:val="24"/>
          <w:lang w:val="en-US" w:eastAsia="zh-CN"/>
        </w:rPr>
        <w:t>本年度的工作重点是对地形地貌景观及土地资源进行监测，对复垦植被进行管护。</w:t>
      </w:r>
    </w:p>
    <w:bookmarkEnd w:id="34"/>
    <w:p>
      <w:pPr>
        <w:widowControl/>
        <w:spacing w:line="360" w:lineRule="auto"/>
        <w:ind w:firstLine="480" w:firstLineChars="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根据矿山实际情况，结合矿山地质环境现状，按照“应治可治全部治理”的原则，确定内蒙古自治区平庄煤田原五家煤矿一井东部炭质泥岩矿2024年度不设计新的矿山地质环境治理单元。本年度的工作重点是对地形地貌景观及土地资源进行监测，对复垦植被进行管护。</w:t>
      </w:r>
    </w:p>
    <w:p>
      <w:pPr>
        <w:spacing w:line="360" w:lineRule="auto"/>
        <w:ind w:left="0" w:leftChars="0" w:firstLine="0" w:firstLineChars="0"/>
        <w:jc w:val="left"/>
        <w:outlineLvl w:val="1"/>
        <w:rPr>
          <w:rFonts w:hint="eastAsia" w:ascii="宋体" w:hAnsi="宋体" w:eastAsia="宋体" w:cs="宋体"/>
          <w:b/>
          <w:bCs/>
          <w:color w:val="auto"/>
          <w:sz w:val="32"/>
          <w:szCs w:val="32"/>
          <w:lang w:val="en-US" w:eastAsia="zh-CN"/>
        </w:rPr>
      </w:pPr>
      <w:bookmarkStart w:id="35" w:name="_Toc10123"/>
      <w:bookmarkStart w:id="36" w:name="_Toc13993"/>
      <w:bookmarkStart w:id="37" w:name="_Toc24225"/>
      <w:bookmarkStart w:id="38" w:name="_Toc22969"/>
      <w:r>
        <w:rPr>
          <w:rFonts w:hint="eastAsia" w:ascii="宋体" w:hAnsi="宋体" w:eastAsia="宋体" w:cs="宋体"/>
          <w:b/>
          <w:bCs/>
          <w:color w:val="auto"/>
          <w:sz w:val="28"/>
          <w:szCs w:val="28"/>
          <w:lang w:val="en-US" w:eastAsia="zh-CN"/>
        </w:rPr>
        <w:t>（二）矿山地质环境治理工程</w:t>
      </w:r>
      <w:bookmarkEnd w:id="35"/>
      <w:bookmarkEnd w:id="36"/>
      <w:bookmarkEnd w:id="37"/>
      <w:bookmarkEnd w:id="38"/>
    </w:p>
    <w:p>
      <w:pPr>
        <w:widowControl/>
        <w:spacing w:line="360" w:lineRule="auto"/>
        <w:ind w:firstLine="480" w:firstLineChars="0"/>
        <w:jc w:val="left"/>
        <w:rPr>
          <w:rFonts w:hint="eastAsia" w:ascii="宋体" w:hAnsi="宋体" w:eastAsia="宋体" w:cs="宋体"/>
          <w:color w:val="auto"/>
          <w:sz w:val="24"/>
          <w:szCs w:val="24"/>
          <w:lang w:val="en-US" w:eastAsia="zh-CN"/>
        </w:rPr>
      </w:pPr>
      <w:bookmarkStart w:id="39" w:name="_Toc16292"/>
      <w:r>
        <w:rPr>
          <w:rFonts w:hint="eastAsia" w:ascii="宋体" w:hAnsi="宋体" w:eastAsia="宋体" w:cs="宋体"/>
          <w:color w:val="auto"/>
          <w:sz w:val="24"/>
          <w:szCs w:val="24"/>
          <w:lang w:val="en-US" w:eastAsia="zh-CN"/>
        </w:rPr>
        <w:t>略。</w:t>
      </w:r>
    </w:p>
    <w:p>
      <w:pPr>
        <w:spacing w:line="360" w:lineRule="auto"/>
        <w:ind w:left="0" w:leftChars="0" w:firstLine="0" w:firstLineChars="0"/>
        <w:jc w:val="left"/>
        <w:outlineLvl w:val="1"/>
        <w:rPr>
          <w:rFonts w:hint="eastAsia" w:ascii="宋体" w:hAnsi="宋体" w:eastAsia="宋体" w:cs="宋体"/>
          <w:b/>
          <w:bCs/>
          <w:color w:val="auto"/>
          <w:sz w:val="28"/>
          <w:szCs w:val="28"/>
          <w:lang w:val="en-US" w:eastAsia="zh-CN"/>
        </w:rPr>
      </w:pPr>
      <w:bookmarkStart w:id="40" w:name="_Toc23661"/>
      <w:bookmarkStart w:id="41" w:name="_Toc10321"/>
      <w:bookmarkStart w:id="42" w:name="_Toc11475"/>
      <w:bookmarkStart w:id="43" w:name="_Toc32718"/>
      <w:r>
        <w:rPr>
          <w:rFonts w:hint="eastAsia" w:ascii="宋体" w:hAnsi="宋体" w:eastAsia="宋体" w:cs="宋体"/>
          <w:b/>
          <w:bCs/>
          <w:color w:val="auto"/>
          <w:sz w:val="28"/>
          <w:szCs w:val="28"/>
          <w:lang w:val="en-US" w:eastAsia="zh-CN"/>
        </w:rPr>
        <w:t>（三）矿山地质环境监测工程</w:t>
      </w:r>
      <w:bookmarkEnd w:id="39"/>
      <w:bookmarkEnd w:id="40"/>
      <w:bookmarkEnd w:id="41"/>
      <w:bookmarkEnd w:id="42"/>
      <w:bookmarkEnd w:id="43"/>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rPr>
      </w:pPr>
      <w:r>
        <w:rPr>
          <w:rFonts w:hint="eastAsia" w:ascii="宋体" w:hAnsi="宋体" w:eastAsia="宋体" w:cs="宋体"/>
          <w:color w:val="auto"/>
          <w:sz w:val="24"/>
        </w:rPr>
        <w:t>为了切实加强矿山环境保护，矿山存在的地质环境问题主要有：崩塌地质灾害、地形地貌景观影响及土地资源破坏。</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
          <w:color w:val="auto"/>
          <w:sz w:val="24"/>
        </w:rPr>
      </w:pPr>
      <w:r>
        <w:rPr>
          <w:rFonts w:hint="eastAsia" w:ascii="宋体" w:hAnsi="宋体" w:eastAsia="宋体" w:cs="宋体"/>
          <w:color w:val="auto"/>
          <w:sz w:val="24"/>
          <w:szCs w:val="24"/>
          <w:lang w:val="en-US" w:eastAsia="zh-CN"/>
        </w:rPr>
        <w:t>由于现状内蒙古自治区平庄煤田原五家煤矿一井东部炭质泥岩矿本年度没有相关的矿山基建建设或生产计划，露天采场将保持现状的稳定状态。因此，</w:t>
      </w:r>
      <w:r>
        <w:rPr>
          <w:rFonts w:hint="eastAsia" w:ascii="宋体" w:hAnsi="宋体" w:eastAsia="宋体" w:cs="宋体"/>
          <w:color w:val="auto"/>
          <w:kern w:val="2"/>
          <w:sz w:val="24"/>
          <w:szCs w:val="24"/>
          <w:lang w:val="en-US" w:eastAsia="zh-CN" w:bidi="ar"/>
        </w:rPr>
        <w:t>2024年</w:t>
      </w:r>
      <w:r>
        <w:rPr>
          <w:rFonts w:hint="eastAsia" w:ascii="宋体" w:hAnsi="宋体" w:eastAsia="宋体" w:cs="宋体"/>
          <w:color w:val="auto"/>
          <w:sz w:val="24"/>
          <w:szCs w:val="24"/>
          <w:lang w:val="en-US" w:eastAsia="zh-CN"/>
        </w:rPr>
        <w:t>矿山地质环境监测工程主要为矿区土地资源及地形地貌景观监测。</w:t>
      </w:r>
    </w:p>
    <w:p>
      <w:pPr>
        <w:keepNext w:val="0"/>
        <w:keepLines w:val="0"/>
        <w:pageBreakBefore w:val="0"/>
        <w:widowControl/>
        <w:kinsoku/>
        <w:wordWrap/>
        <w:overflowPunct/>
        <w:topLinePunct w:val="0"/>
        <w:autoSpaceDE/>
        <w:autoSpaceDN/>
        <w:bidi w:val="0"/>
        <w:adjustRightInd/>
        <w:snapToGrid/>
        <w:spacing w:after="0" w:line="360" w:lineRule="auto"/>
        <w:ind w:firstLine="480" w:firstLineChars="200"/>
        <w:contextualSpacing/>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1、监测内容</w:t>
      </w:r>
    </w:p>
    <w:p>
      <w:pPr>
        <w:pStyle w:val="75"/>
        <w:keepNext w:val="0"/>
        <w:keepLines w:val="0"/>
        <w:pageBreakBefore w:val="0"/>
        <w:widowControl/>
        <w:kinsoku/>
        <w:wordWrap/>
        <w:overflowPunct/>
        <w:topLinePunct w:val="0"/>
        <w:autoSpaceDE/>
        <w:autoSpaceDN/>
        <w:bidi w:val="0"/>
        <w:adjustRightInd/>
        <w:snapToGrid/>
        <w:spacing w:after="0" w:line="360" w:lineRule="auto"/>
        <w:ind w:firstLine="480" w:firstLineChars="200"/>
        <w:jc w:val="left"/>
        <w:textAlignment w:val="auto"/>
        <w:rPr>
          <w:rFonts w:hint="eastAsia" w:ascii="宋体" w:hAnsi="宋体" w:eastAsia="宋体" w:cs="宋体"/>
          <w:color w:val="auto"/>
          <w:sz w:val="24"/>
        </w:rPr>
      </w:pPr>
      <w:r>
        <w:rPr>
          <w:rFonts w:hint="eastAsia" w:ascii="宋体" w:hAnsi="宋体" w:eastAsia="宋体" w:cs="宋体"/>
          <w:color w:val="auto"/>
          <w:sz w:val="24"/>
          <w:highlight w:val="none"/>
        </w:rPr>
        <w:t>为保护采矿必要破坏土地以外土地免受破坏，对评估区内土地资源、地形地貌景观进行监测。</w:t>
      </w:r>
    </w:p>
    <w:p>
      <w:pPr>
        <w:pStyle w:val="75"/>
        <w:keepNext w:val="0"/>
        <w:keepLines w:val="0"/>
        <w:pageBreakBefore w:val="0"/>
        <w:widowControl/>
        <w:kinsoku/>
        <w:wordWrap/>
        <w:overflowPunct/>
        <w:topLinePunct w:val="0"/>
        <w:autoSpaceDE/>
        <w:autoSpaceDN/>
        <w:bidi w:val="0"/>
        <w:spacing w:after="0" w:line="360" w:lineRule="auto"/>
        <w:ind w:firstLine="480" w:firstLineChars="200"/>
        <w:jc w:val="left"/>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2</w:t>
      </w:r>
      <w:r>
        <w:rPr>
          <w:rFonts w:hint="eastAsia" w:ascii="宋体" w:hAnsi="宋体" w:eastAsia="宋体" w:cs="宋体"/>
          <w:color w:val="auto"/>
          <w:sz w:val="24"/>
        </w:rPr>
        <w:t>、监测方法</w:t>
      </w:r>
    </w:p>
    <w:p>
      <w:pPr>
        <w:pStyle w:val="75"/>
        <w:keepNext w:val="0"/>
        <w:keepLines w:val="0"/>
        <w:pageBreakBefore w:val="0"/>
        <w:widowControl/>
        <w:kinsoku/>
        <w:wordWrap/>
        <w:overflowPunct/>
        <w:topLinePunct w:val="0"/>
        <w:autoSpaceDE/>
        <w:autoSpaceDN/>
        <w:bidi w:val="0"/>
        <w:spacing w:after="0" w:line="360" w:lineRule="auto"/>
        <w:ind w:firstLine="480" w:firstLineChars="200"/>
        <w:jc w:val="left"/>
        <w:textAlignment w:val="auto"/>
        <w:rPr>
          <w:rFonts w:hint="eastAsia" w:ascii="宋体" w:hAnsi="宋体" w:eastAsia="宋体" w:cs="宋体"/>
          <w:color w:val="auto"/>
          <w:sz w:val="24"/>
        </w:rPr>
      </w:pPr>
      <w:r>
        <w:rPr>
          <w:rFonts w:hint="eastAsia" w:ascii="宋体" w:hAnsi="宋体" w:eastAsia="宋体" w:cs="宋体"/>
          <w:color w:val="auto"/>
          <w:sz w:val="24"/>
          <w:highlight w:val="none"/>
        </w:rPr>
        <w:t>采用目测及拍照摄像相结合的方式，采用路线法，设计</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条监测路线，</w:t>
      </w:r>
      <w:r>
        <w:rPr>
          <w:rFonts w:hint="eastAsia" w:ascii="宋体" w:hAnsi="宋体" w:eastAsia="宋体" w:cs="宋体"/>
          <w:color w:val="auto"/>
          <w:sz w:val="24"/>
          <w:highlight w:val="none"/>
          <w:lang w:eastAsia="zh-CN"/>
        </w:rPr>
        <w:t>合计</w:t>
      </w:r>
      <w:r>
        <w:rPr>
          <w:rFonts w:hint="eastAsia" w:ascii="宋体" w:hAnsi="宋体" w:eastAsia="宋体" w:cs="宋体"/>
          <w:color w:val="auto"/>
          <w:sz w:val="24"/>
        </w:rPr>
        <w:t>路线长度</w:t>
      </w:r>
      <w:r>
        <w:rPr>
          <w:rFonts w:hint="eastAsia" w:ascii="宋体" w:hAnsi="宋体" w:eastAsia="宋体" w:cs="宋体"/>
          <w:color w:val="auto"/>
          <w:sz w:val="24"/>
          <w:lang w:eastAsia="zh-CN"/>
        </w:rPr>
        <w:t>约</w:t>
      </w:r>
      <w:r>
        <w:rPr>
          <w:rFonts w:hint="eastAsia" w:ascii="宋体" w:hAnsi="宋体" w:eastAsia="宋体" w:cs="宋体"/>
          <w:color w:val="auto"/>
          <w:sz w:val="24"/>
          <w:highlight w:val="none"/>
          <w:lang w:val="en-US" w:eastAsia="zh-CN"/>
        </w:rPr>
        <w:t>1.8</w:t>
      </w:r>
      <w:r>
        <w:rPr>
          <w:rFonts w:hint="eastAsia" w:ascii="宋体" w:hAnsi="宋体" w:eastAsia="宋体" w:cs="宋体"/>
          <w:color w:val="auto"/>
          <w:sz w:val="24"/>
          <w:highlight w:val="none"/>
        </w:rPr>
        <w:t>km，对工程场地的外观表现特征参数进行监测，对各区破坏的土地类型进行实地调查。</w:t>
      </w:r>
    </w:p>
    <w:p>
      <w:pPr>
        <w:pStyle w:val="75"/>
        <w:keepNext w:val="0"/>
        <w:keepLines w:val="0"/>
        <w:pageBreakBefore w:val="0"/>
        <w:widowControl/>
        <w:kinsoku/>
        <w:wordWrap/>
        <w:overflowPunct/>
        <w:topLinePunct w:val="0"/>
        <w:autoSpaceDE/>
        <w:autoSpaceDN/>
        <w:bidi w:val="0"/>
        <w:spacing w:after="0" w:line="360" w:lineRule="auto"/>
        <w:ind w:firstLine="480" w:firstLineChars="200"/>
        <w:jc w:val="left"/>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3</w:t>
      </w:r>
      <w:r>
        <w:rPr>
          <w:rFonts w:hint="eastAsia" w:ascii="宋体" w:hAnsi="宋体" w:eastAsia="宋体" w:cs="宋体"/>
          <w:color w:val="auto"/>
          <w:sz w:val="24"/>
        </w:rPr>
        <w:t>、监测频率</w:t>
      </w:r>
    </w:p>
    <w:p>
      <w:pPr>
        <w:pStyle w:val="75"/>
        <w:keepNext w:val="0"/>
        <w:keepLines w:val="0"/>
        <w:pageBreakBefore w:val="0"/>
        <w:widowControl/>
        <w:kinsoku/>
        <w:wordWrap/>
        <w:overflowPunct/>
        <w:topLinePunct w:val="0"/>
        <w:autoSpaceDE/>
        <w:autoSpaceDN/>
        <w:bidi w:val="0"/>
        <w:spacing w:after="0" w:line="360" w:lineRule="auto"/>
        <w:ind w:firstLine="480" w:firstLineChars="200"/>
        <w:jc w:val="left"/>
        <w:textAlignment w:val="auto"/>
        <w:rPr>
          <w:rFonts w:hint="eastAsia" w:ascii="宋体" w:hAnsi="宋体" w:eastAsia="宋体" w:cs="宋体"/>
          <w:color w:val="auto"/>
          <w:sz w:val="24"/>
        </w:rPr>
      </w:pPr>
      <w:r>
        <w:rPr>
          <w:rFonts w:hint="eastAsia" w:ascii="宋体" w:hAnsi="宋体" w:eastAsia="宋体" w:cs="宋体"/>
          <w:color w:val="auto"/>
          <w:sz w:val="24"/>
          <w:highlight w:val="none"/>
        </w:rPr>
        <w:t>每月目测1次，每年对场地占用情况进行一次仪器测量并拍照摄像</w:t>
      </w:r>
      <w:r>
        <w:rPr>
          <w:rFonts w:hint="eastAsia" w:ascii="宋体" w:hAnsi="宋体" w:eastAsia="宋体" w:cs="宋体"/>
          <w:bCs/>
          <w:color w:val="auto"/>
          <w:sz w:val="24"/>
        </w:rPr>
        <w:t>。</w:t>
      </w:r>
    </w:p>
    <w:p>
      <w:pPr>
        <w:pStyle w:val="75"/>
        <w:keepNext w:val="0"/>
        <w:keepLines w:val="0"/>
        <w:pageBreakBefore w:val="0"/>
        <w:widowControl/>
        <w:kinsoku/>
        <w:wordWrap/>
        <w:overflowPunct/>
        <w:topLinePunct w:val="0"/>
        <w:autoSpaceDE/>
        <w:autoSpaceDN/>
        <w:bidi w:val="0"/>
        <w:spacing w:after="0" w:line="360" w:lineRule="auto"/>
        <w:ind w:firstLine="480" w:firstLineChars="200"/>
        <w:jc w:val="left"/>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w:t>
      </w:r>
      <w:r>
        <w:rPr>
          <w:rFonts w:hint="eastAsia" w:ascii="宋体" w:hAnsi="宋体" w:eastAsia="宋体" w:cs="宋体"/>
          <w:color w:val="auto"/>
          <w:sz w:val="24"/>
        </w:rPr>
        <w:t>、监测时限</w:t>
      </w:r>
    </w:p>
    <w:p>
      <w:pPr>
        <w:pStyle w:val="75"/>
        <w:keepNext w:val="0"/>
        <w:keepLines w:val="0"/>
        <w:pageBreakBefore w:val="0"/>
        <w:widowControl/>
        <w:kinsoku/>
        <w:wordWrap/>
        <w:overflowPunct/>
        <w:topLinePunct w:val="0"/>
        <w:autoSpaceDE/>
        <w:autoSpaceDN/>
        <w:bidi w:val="0"/>
        <w:spacing w:after="0" w:line="360" w:lineRule="auto"/>
        <w:ind w:firstLine="480" w:firstLineChars="200"/>
        <w:jc w:val="left"/>
        <w:textAlignment w:val="auto"/>
        <w:rPr>
          <w:rFonts w:hint="eastAsia" w:ascii="宋体" w:hAnsi="宋体" w:eastAsia="宋体" w:cs="宋体"/>
          <w:color w:val="auto"/>
          <w:sz w:val="24"/>
        </w:rPr>
      </w:pPr>
      <w:r>
        <w:rPr>
          <w:rFonts w:hint="eastAsia" w:ascii="宋体" w:hAnsi="宋体" w:eastAsia="宋体" w:cs="宋体"/>
          <w:color w:val="auto"/>
          <w:sz w:val="24"/>
          <w:lang w:eastAsia="zh-CN"/>
        </w:rPr>
        <w:t>自202</w:t>
      </w:r>
      <w:r>
        <w:rPr>
          <w:rFonts w:hint="eastAsia" w:ascii="宋体" w:hAnsi="宋体" w:eastAsia="宋体" w:cs="宋体"/>
          <w:color w:val="auto"/>
          <w:sz w:val="24"/>
          <w:lang w:val="en-US" w:eastAsia="zh-CN"/>
        </w:rPr>
        <w:t>4</w:t>
      </w:r>
      <w:r>
        <w:rPr>
          <w:rFonts w:hint="eastAsia" w:ascii="宋体" w:hAnsi="宋体" w:eastAsia="宋体" w:cs="宋体"/>
          <w:color w:val="auto"/>
          <w:sz w:val="24"/>
          <w:lang w:eastAsia="zh-CN"/>
        </w:rPr>
        <w:t>年</w:t>
      </w:r>
      <w:r>
        <w:rPr>
          <w:rFonts w:hint="eastAsia" w:ascii="宋体" w:hAnsi="宋体" w:eastAsia="宋体" w:cs="宋体"/>
          <w:color w:val="auto"/>
          <w:sz w:val="24"/>
          <w:lang w:val="en-US" w:eastAsia="zh-CN"/>
        </w:rPr>
        <w:t>1</w:t>
      </w:r>
      <w:r>
        <w:rPr>
          <w:rFonts w:hint="eastAsia" w:ascii="宋体" w:hAnsi="宋体" w:eastAsia="宋体" w:cs="宋体"/>
          <w:color w:val="auto"/>
          <w:sz w:val="24"/>
          <w:lang w:eastAsia="zh-CN"/>
        </w:rPr>
        <w:t>月1日～20</w:t>
      </w:r>
      <w:r>
        <w:rPr>
          <w:rFonts w:hint="eastAsia" w:ascii="宋体" w:hAnsi="宋体" w:eastAsia="宋体" w:cs="宋体"/>
          <w:color w:val="auto"/>
          <w:sz w:val="24"/>
          <w:lang w:val="en-US" w:eastAsia="zh-CN"/>
        </w:rPr>
        <w:t>24</w:t>
      </w:r>
      <w:r>
        <w:rPr>
          <w:rFonts w:hint="eastAsia" w:ascii="宋体" w:hAnsi="宋体" w:eastAsia="宋体" w:cs="宋体"/>
          <w:color w:val="auto"/>
          <w:sz w:val="24"/>
          <w:lang w:eastAsia="zh-CN"/>
        </w:rPr>
        <w:t>年</w:t>
      </w:r>
      <w:r>
        <w:rPr>
          <w:rFonts w:hint="eastAsia" w:ascii="宋体" w:hAnsi="宋体" w:eastAsia="宋体" w:cs="宋体"/>
          <w:color w:val="auto"/>
          <w:sz w:val="24"/>
          <w:lang w:val="en-US" w:eastAsia="zh-CN"/>
        </w:rPr>
        <w:t>12</w:t>
      </w:r>
      <w:r>
        <w:rPr>
          <w:rFonts w:hint="eastAsia" w:ascii="宋体" w:hAnsi="宋体" w:eastAsia="宋体" w:cs="宋体"/>
          <w:color w:val="auto"/>
          <w:sz w:val="24"/>
          <w:lang w:eastAsia="zh-CN"/>
        </w:rPr>
        <w:t>月3</w:t>
      </w:r>
      <w:r>
        <w:rPr>
          <w:rFonts w:hint="eastAsia" w:ascii="宋体" w:hAnsi="宋体" w:eastAsia="宋体" w:cs="宋体"/>
          <w:color w:val="auto"/>
          <w:sz w:val="24"/>
          <w:lang w:val="en-US" w:eastAsia="zh-CN"/>
        </w:rPr>
        <w:t>1</w:t>
      </w:r>
      <w:r>
        <w:rPr>
          <w:rFonts w:hint="eastAsia" w:ascii="宋体" w:hAnsi="宋体" w:eastAsia="宋体" w:cs="宋体"/>
          <w:color w:val="auto"/>
          <w:sz w:val="24"/>
          <w:lang w:eastAsia="zh-CN"/>
        </w:rPr>
        <w:t>日</w:t>
      </w:r>
      <w:r>
        <w:rPr>
          <w:rFonts w:hint="eastAsia" w:ascii="宋体" w:hAnsi="宋体" w:eastAsia="宋体" w:cs="宋体"/>
          <w:color w:val="auto"/>
          <w:sz w:val="24"/>
        </w:rPr>
        <w:t>。</w:t>
      </w:r>
    </w:p>
    <w:p>
      <w:pPr>
        <w:keepNext w:val="0"/>
        <w:keepLines w:val="0"/>
        <w:pageBreakBefore w:val="0"/>
        <w:widowControl/>
        <w:kinsoku/>
        <w:wordWrap/>
        <w:overflowPunct/>
        <w:topLinePunct w:val="0"/>
        <w:autoSpaceDE/>
        <w:autoSpaceDN/>
        <w:bidi w:val="0"/>
        <w:spacing w:after="0" w:line="360" w:lineRule="auto"/>
        <w:ind w:firstLine="480" w:firstLineChars="200"/>
        <w:contextualSpacing/>
        <w:jc w:val="left"/>
        <w:textAlignment w:val="auto"/>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eastAsia="zh-CN"/>
        </w:rPr>
        <w:t>监测记录表见表</w:t>
      </w:r>
      <w:r>
        <w:rPr>
          <w:rFonts w:hint="eastAsia" w:ascii="宋体" w:hAnsi="宋体" w:eastAsia="宋体" w:cs="宋体"/>
          <w:b w:val="0"/>
          <w:bCs/>
          <w:color w:val="auto"/>
          <w:sz w:val="24"/>
          <w:szCs w:val="24"/>
          <w:lang w:val="en-US" w:eastAsia="zh-CN"/>
        </w:rPr>
        <w:t>5-1。</w:t>
      </w:r>
    </w:p>
    <w:p>
      <w:pPr>
        <w:spacing w:before="120" w:beforeLines="50"/>
        <w:ind w:firstLine="0" w:firstLineChars="0"/>
        <w:jc w:val="center"/>
        <w:rPr>
          <w:rFonts w:hint="eastAsia" w:ascii="宋体" w:hAnsi="宋体" w:eastAsia="宋体" w:cs="宋体"/>
          <w:b w:val="0"/>
          <w:bCs/>
          <w:color w:val="auto"/>
          <w:szCs w:val="24"/>
        </w:rPr>
      </w:pPr>
      <w:r>
        <w:rPr>
          <w:rFonts w:hint="eastAsia" w:ascii="宋体" w:hAnsi="宋体" w:eastAsia="宋体" w:cs="宋体"/>
          <w:b w:val="0"/>
          <w:bCs/>
          <w:color w:val="auto"/>
          <w:szCs w:val="24"/>
        </w:rPr>
        <w:t>表5-</w:t>
      </w:r>
      <w:r>
        <w:rPr>
          <w:rFonts w:hint="eastAsia" w:ascii="宋体" w:hAnsi="宋体" w:eastAsia="宋体" w:cs="宋体"/>
          <w:b w:val="0"/>
          <w:bCs/>
          <w:color w:val="auto"/>
          <w:szCs w:val="24"/>
          <w:lang w:val="en-US" w:eastAsia="zh-CN"/>
        </w:rPr>
        <w:t>1</w:t>
      </w:r>
      <w:r>
        <w:rPr>
          <w:rFonts w:hint="eastAsia" w:ascii="宋体" w:hAnsi="宋体" w:eastAsia="宋体" w:cs="宋体"/>
          <w:b w:val="0"/>
          <w:bCs/>
          <w:color w:val="auto"/>
          <w:szCs w:val="24"/>
        </w:rPr>
        <w:t xml:space="preserve">    矿山监测记录样表</w:t>
      </w:r>
    </w:p>
    <w:tbl>
      <w:tblPr>
        <w:tblStyle w:val="87"/>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601"/>
        <w:gridCol w:w="1504"/>
        <w:gridCol w:w="1604"/>
        <w:gridCol w:w="1694"/>
        <w:gridCol w:w="178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601" w:type="dxa"/>
            <w:vAlign w:val="center"/>
          </w:tcPr>
          <w:p>
            <w:pPr>
              <w:widowControl/>
              <w:adjustRightInd/>
              <w:snapToGrid/>
              <w:spacing w:line="240" w:lineRule="auto"/>
              <w:ind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矿山名称</w:t>
            </w:r>
          </w:p>
        </w:tc>
        <w:tc>
          <w:tcPr>
            <w:tcW w:w="6590" w:type="dxa"/>
            <w:gridSpan w:val="4"/>
            <w:vAlign w:val="center"/>
          </w:tcPr>
          <w:p>
            <w:pPr>
              <w:widowControl/>
              <w:adjustRightInd/>
              <w:snapToGrid/>
              <w:spacing w:line="240" w:lineRule="auto"/>
              <w:ind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内蒙古自治区平庄煤田原五家煤矿一井东部炭质泥岩矿</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601" w:type="dxa"/>
            <w:vAlign w:val="center"/>
          </w:tcPr>
          <w:p>
            <w:pPr>
              <w:widowControl/>
              <w:adjustRightInd/>
              <w:snapToGrid/>
              <w:spacing w:line="240" w:lineRule="auto"/>
              <w:ind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地理位置</w:t>
            </w:r>
          </w:p>
        </w:tc>
        <w:tc>
          <w:tcPr>
            <w:tcW w:w="6590" w:type="dxa"/>
            <w:gridSpan w:val="4"/>
            <w:vAlign w:val="center"/>
          </w:tcPr>
          <w:p>
            <w:pPr>
              <w:widowControl/>
              <w:adjustRightInd/>
              <w:snapToGrid/>
              <w:spacing w:line="240" w:lineRule="auto"/>
              <w:ind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元宝山区五家镇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601" w:type="dxa"/>
            <w:vAlign w:val="center"/>
          </w:tcPr>
          <w:p>
            <w:pPr>
              <w:widowControl/>
              <w:adjustRightInd/>
              <w:snapToGrid/>
              <w:spacing w:line="240" w:lineRule="auto"/>
              <w:ind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监测方法</w:t>
            </w:r>
          </w:p>
        </w:tc>
        <w:tc>
          <w:tcPr>
            <w:tcW w:w="6590" w:type="dxa"/>
            <w:gridSpan w:val="4"/>
            <w:vAlign w:val="center"/>
          </w:tcPr>
          <w:p>
            <w:pPr>
              <w:widowControl/>
              <w:adjustRightInd/>
              <w:snapToGrid/>
              <w:spacing w:line="240" w:lineRule="auto"/>
              <w:ind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路线调查法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601" w:type="dxa"/>
            <w:vAlign w:val="center"/>
          </w:tcPr>
          <w:p>
            <w:pPr>
              <w:widowControl/>
              <w:adjustRightInd/>
              <w:snapToGrid/>
              <w:spacing w:line="240" w:lineRule="auto"/>
              <w:ind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监测时间</w:t>
            </w:r>
          </w:p>
        </w:tc>
        <w:tc>
          <w:tcPr>
            <w:tcW w:w="6590" w:type="dxa"/>
            <w:gridSpan w:val="4"/>
            <w:vAlign w:val="center"/>
          </w:tcPr>
          <w:p>
            <w:pPr>
              <w:widowControl/>
              <w:adjustRightInd/>
              <w:snapToGrid/>
              <w:spacing w:line="240" w:lineRule="auto"/>
              <w:ind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监测内容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601" w:type="dxa"/>
            <w:vMerge w:val="restart"/>
            <w:vAlign w:val="center"/>
          </w:tcPr>
          <w:p>
            <w:pPr>
              <w:widowControl/>
              <w:adjustRightInd/>
              <w:snapToGrid/>
              <w:spacing w:line="240" w:lineRule="auto"/>
              <w:ind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年  月  日</w:t>
            </w:r>
          </w:p>
        </w:tc>
        <w:tc>
          <w:tcPr>
            <w:tcW w:w="3108" w:type="dxa"/>
            <w:gridSpan w:val="2"/>
            <w:vAlign w:val="center"/>
          </w:tcPr>
          <w:p>
            <w:pPr>
              <w:widowControl/>
              <w:adjustRightInd/>
              <w:snapToGrid/>
              <w:spacing w:line="240" w:lineRule="auto"/>
              <w:ind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挖损</w:t>
            </w:r>
          </w:p>
        </w:tc>
        <w:tc>
          <w:tcPr>
            <w:tcW w:w="3482" w:type="dxa"/>
            <w:gridSpan w:val="2"/>
            <w:vAlign w:val="center"/>
          </w:tcPr>
          <w:p>
            <w:pPr>
              <w:widowControl/>
              <w:adjustRightInd/>
              <w:snapToGrid/>
              <w:spacing w:line="240" w:lineRule="auto"/>
              <w:ind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土地资源利用情况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3" w:hRule="atLeast"/>
          <w:jc w:val="center"/>
        </w:trPr>
        <w:tc>
          <w:tcPr>
            <w:tcW w:w="1601" w:type="dxa"/>
            <w:vMerge w:val="continue"/>
            <w:vAlign w:val="center"/>
          </w:tcPr>
          <w:p>
            <w:pPr>
              <w:widowControl/>
              <w:ind w:firstLine="420"/>
              <w:jc w:val="center"/>
              <w:rPr>
                <w:rFonts w:hint="eastAsia" w:ascii="宋体" w:hAnsi="宋体" w:eastAsia="宋体" w:cs="宋体"/>
                <w:color w:val="auto"/>
                <w:kern w:val="0"/>
                <w:sz w:val="21"/>
                <w:szCs w:val="21"/>
              </w:rPr>
            </w:pPr>
          </w:p>
        </w:tc>
        <w:tc>
          <w:tcPr>
            <w:tcW w:w="1504" w:type="dxa"/>
          </w:tcPr>
          <w:p>
            <w:pPr>
              <w:widowControl/>
              <w:ind w:firstLine="420"/>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类型</w:t>
            </w:r>
          </w:p>
        </w:tc>
        <w:tc>
          <w:tcPr>
            <w:tcW w:w="1604" w:type="dxa"/>
          </w:tcPr>
          <w:p>
            <w:pPr>
              <w:widowControl/>
              <w:ind w:firstLine="420"/>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面积（m</w:t>
            </w:r>
            <w:r>
              <w:rPr>
                <w:rFonts w:hint="eastAsia" w:ascii="宋体" w:hAnsi="宋体" w:eastAsia="宋体" w:cs="宋体"/>
                <w:color w:val="auto"/>
                <w:kern w:val="0"/>
                <w:sz w:val="21"/>
                <w:szCs w:val="21"/>
                <w:vertAlign w:val="superscript"/>
              </w:rPr>
              <w:t>2</w:t>
            </w:r>
            <w:r>
              <w:rPr>
                <w:rFonts w:hint="eastAsia" w:ascii="宋体" w:hAnsi="宋体" w:eastAsia="宋体" w:cs="宋体"/>
                <w:color w:val="auto"/>
                <w:kern w:val="0"/>
                <w:sz w:val="21"/>
                <w:szCs w:val="21"/>
              </w:rPr>
              <w:t>）</w:t>
            </w:r>
          </w:p>
        </w:tc>
        <w:tc>
          <w:tcPr>
            <w:tcW w:w="1694" w:type="dxa"/>
          </w:tcPr>
          <w:p>
            <w:pPr>
              <w:widowControl/>
              <w:ind w:firstLine="420"/>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类型</w:t>
            </w:r>
          </w:p>
        </w:tc>
        <w:tc>
          <w:tcPr>
            <w:tcW w:w="1788" w:type="dxa"/>
          </w:tcPr>
          <w:p>
            <w:pPr>
              <w:widowControl/>
              <w:ind w:firstLine="420"/>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面积（m</w:t>
            </w:r>
            <w:r>
              <w:rPr>
                <w:rFonts w:hint="eastAsia" w:ascii="宋体" w:hAnsi="宋体" w:eastAsia="宋体" w:cs="宋体"/>
                <w:color w:val="auto"/>
                <w:kern w:val="0"/>
                <w:sz w:val="21"/>
                <w:szCs w:val="21"/>
                <w:vertAlign w:val="superscript"/>
              </w:rPr>
              <w:t>2</w:t>
            </w:r>
            <w:r>
              <w:rPr>
                <w:rFonts w:hint="eastAsia" w:ascii="宋体" w:hAnsi="宋体" w:eastAsia="宋体" w:cs="宋体"/>
                <w:color w:val="auto"/>
                <w:kern w:val="0"/>
                <w:sz w:val="21"/>
                <w:szCs w:val="21"/>
              </w:rPr>
              <w:t>）</w:t>
            </w:r>
          </w:p>
        </w:tc>
      </w:tr>
    </w:tbl>
    <w:p>
      <w:pPr>
        <w:rPr>
          <w:rFonts w:hint="eastAsia" w:ascii="宋体" w:hAnsi="宋体" w:eastAsia="宋体" w:cs="宋体"/>
          <w:color w:val="auto"/>
          <w:sz w:val="30"/>
          <w:szCs w:val="30"/>
        </w:rPr>
      </w:pPr>
    </w:p>
    <w:p>
      <w:pPr>
        <w:rPr>
          <w:rFonts w:hint="eastAsia" w:ascii="宋体" w:hAnsi="宋体" w:eastAsia="宋体" w:cs="宋体"/>
          <w:color w:val="auto"/>
          <w:sz w:val="30"/>
          <w:szCs w:val="30"/>
        </w:rPr>
      </w:pPr>
      <w:r>
        <w:rPr>
          <w:rFonts w:hint="eastAsia" w:ascii="宋体" w:hAnsi="宋体" w:eastAsia="宋体" w:cs="宋体"/>
          <w:color w:val="auto"/>
          <w:sz w:val="30"/>
          <w:szCs w:val="30"/>
        </w:rPr>
        <w:br w:type="page"/>
      </w:r>
    </w:p>
    <w:p>
      <w:pPr>
        <w:pStyle w:val="4"/>
        <w:pageBreakBefore w:val="0"/>
        <w:adjustRightInd/>
        <w:snapToGrid/>
        <w:rPr>
          <w:rFonts w:hint="eastAsia" w:ascii="宋体" w:hAnsi="宋体" w:eastAsia="宋体" w:cs="宋体"/>
          <w:color w:val="auto"/>
          <w:sz w:val="36"/>
          <w:szCs w:val="36"/>
        </w:rPr>
      </w:pPr>
      <w:bookmarkStart w:id="44" w:name="_Toc22365"/>
      <w:r>
        <w:rPr>
          <w:rFonts w:hint="eastAsia" w:ascii="宋体" w:hAnsi="宋体" w:eastAsia="宋体" w:cs="宋体"/>
          <w:color w:val="auto"/>
          <w:sz w:val="32"/>
          <w:szCs w:val="32"/>
        </w:rPr>
        <w:t>六、经费估算</w:t>
      </w:r>
      <w:bookmarkEnd w:id="44"/>
    </w:p>
    <w:p>
      <w:pPr>
        <w:keepNext w:val="0"/>
        <w:keepLines w:val="0"/>
        <w:pageBreakBefore w:val="0"/>
        <w:widowControl/>
        <w:numPr>
          <w:ilvl w:val="0"/>
          <w:numId w:val="0"/>
        </w:numPr>
        <w:kinsoku/>
        <w:wordWrap/>
        <w:overflowPunct/>
        <w:topLinePunct w:val="0"/>
        <w:autoSpaceDE/>
        <w:autoSpaceDN/>
        <w:bidi w:val="0"/>
        <w:adjustRightInd w:val="0"/>
        <w:snapToGrid w:val="0"/>
        <w:spacing w:before="161" w:beforeLines="50" w:line="360" w:lineRule="auto"/>
        <w:jc w:val="both"/>
        <w:textAlignment w:val="auto"/>
        <w:outlineLvl w:val="1"/>
        <w:rPr>
          <w:rFonts w:hint="eastAsia" w:ascii="宋体" w:hAnsi="宋体" w:eastAsia="宋体" w:cs="宋体"/>
          <w:b/>
          <w:bCs/>
          <w:color w:val="auto"/>
          <w:sz w:val="28"/>
          <w:szCs w:val="28"/>
          <w:lang w:val="en-US" w:eastAsia="zh-CN"/>
        </w:rPr>
      </w:pPr>
      <w:bookmarkStart w:id="45" w:name="_Toc32038"/>
      <w:bookmarkStart w:id="46" w:name="_Toc24274"/>
      <w:bookmarkStart w:id="47" w:name="_Toc25612"/>
      <w:r>
        <w:rPr>
          <w:rFonts w:hint="eastAsia" w:ascii="宋体" w:hAnsi="宋体" w:eastAsia="宋体" w:cs="宋体"/>
          <w:b/>
          <w:bCs/>
          <w:color w:val="auto"/>
          <w:sz w:val="28"/>
          <w:szCs w:val="28"/>
          <w:lang w:val="en-US" w:eastAsia="zh-CN"/>
        </w:rPr>
        <w:t>一、估算说明</w:t>
      </w:r>
      <w:bookmarkEnd w:id="45"/>
      <w:bookmarkEnd w:id="46"/>
      <w:bookmarkEnd w:id="47"/>
    </w:p>
    <w:p>
      <w:pPr>
        <w:keepNext w:val="0"/>
        <w:keepLines w:val="0"/>
        <w:pageBreakBefore w:val="0"/>
        <w:widowControl/>
        <w:tabs>
          <w:tab w:val="left" w:pos="720"/>
        </w:tabs>
        <w:kinsoku/>
        <w:wordWrap/>
        <w:overflowPunct/>
        <w:topLinePunct w:val="0"/>
        <w:autoSpaceDE w:val="0"/>
        <w:autoSpaceDN w:val="0"/>
        <w:bidi w:val="0"/>
        <w:adjustRightInd w:val="0"/>
        <w:snapToGrid w:val="0"/>
        <w:spacing w:line="360" w:lineRule="auto"/>
        <w:ind w:firstLine="482" w:firstLineChars="200"/>
        <w:jc w:val="lef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1、</w:t>
      </w:r>
      <w:r>
        <w:rPr>
          <w:rFonts w:hint="eastAsia" w:ascii="宋体" w:hAnsi="宋体" w:eastAsia="宋体" w:cs="宋体"/>
          <w:b/>
          <w:color w:val="auto"/>
          <w:sz w:val="24"/>
          <w:szCs w:val="24"/>
          <w:highlight w:val="none"/>
        </w:rPr>
        <w:t>预算编制依据</w:t>
      </w:r>
    </w:p>
    <w:p>
      <w:pPr>
        <w:keepNext w:val="0"/>
        <w:keepLines w:val="0"/>
        <w:pageBreakBefore w:val="0"/>
        <w:widowControl/>
        <w:kinsoku/>
        <w:wordWrap/>
        <w:overflowPunct/>
        <w:topLinePunct w:val="0"/>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内蒙古自治区财政厅、国土资源厅《内蒙古自治区矿山地质环境治理工程预算定额标准（试行）》及相关配套文件；</w:t>
      </w:r>
    </w:p>
    <w:p>
      <w:pPr>
        <w:keepNext w:val="0"/>
        <w:keepLines w:val="0"/>
        <w:pageBreakBefore w:val="0"/>
        <w:widowControl/>
        <w:kinsoku/>
        <w:wordWrap/>
        <w:overflowPunct/>
        <w:topLinePunct w:val="0"/>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《内蒙古自治区矿山地质环境治理工程定额》（内财建[2013]600号）；</w:t>
      </w:r>
    </w:p>
    <w:p>
      <w:pPr>
        <w:keepNext w:val="0"/>
        <w:keepLines w:val="0"/>
        <w:pageBreakBefore w:val="0"/>
        <w:widowControl/>
        <w:kinsoku/>
        <w:wordWrap/>
        <w:overflowPunct/>
        <w:topLinePunct w:val="0"/>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矿山地质环境保护与</w:t>
      </w:r>
      <w:r>
        <w:rPr>
          <w:rFonts w:hint="eastAsia" w:ascii="宋体" w:hAnsi="宋体" w:eastAsia="宋体" w:cs="宋体"/>
          <w:color w:val="auto"/>
          <w:sz w:val="24"/>
          <w:szCs w:val="24"/>
          <w:highlight w:val="none"/>
          <w:lang w:val="en-US" w:eastAsia="zh-CN"/>
        </w:rPr>
        <w:t>土地复垦</w:t>
      </w:r>
      <w:r>
        <w:rPr>
          <w:rFonts w:hint="eastAsia" w:ascii="宋体" w:hAnsi="宋体" w:eastAsia="宋体" w:cs="宋体"/>
          <w:color w:val="auto"/>
          <w:sz w:val="24"/>
          <w:szCs w:val="24"/>
          <w:highlight w:val="none"/>
        </w:rPr>
        <w:t>方案</w:t>
      </w:r>
      <w:r>
        <w:rPr>
          <w:rFonts w:hint="eastAsia" w:ascii="宋体" w:hAnsi="宋体" w:eastAsia="宋体" w:cs="宋体"/>
          <w:color w:val="auto"/>
          <w:sz w:val="24"/>
          <w:szCs w:val="24"/>
          <w:highlight w:val="none"/>
          <w:lang w:val="en-US" w:eastAsia="zh-CN"/>
        </w:rPr>
        <w:t>设计</w:t>
      </w:r>
      <w:r>
        <w:rPr>
          <w:rFonts w:hint="eastAsia" w:ascii="宋体" w:hAnsi="宋体" w:eastAsia="宋体" w:cs="宋体"/>
          <w:color w:val="auto"/>
          <w:sz w:val="24"/>
          <w:szCs w:val="24"/>
          <w:highlight w:val="none"/>
        </w:rPr>
        <w:t>的实物工作量及相关图件；</w:t>
      </w:r>
    </w:p>
    <w:p>
      <w:pPr>
        <w:keepNext w:val="0"/>
        <w:keepLines w:val="0"/>
        <w:pageBreakBefore w:val="0"/>
        <w:widowControl/>
        <w:kinsoku/>
        <w:wordWrap/>
        <w:overflowPunct/>
        <w:topLinePunct w:val="0"/>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财政部、国土资源部《土地开发整理项目预算定额标准》（2011）；</w:t>
      </w:r>
    </w:p>
    <w:p>
      <w:pPr>
        <w:keepNext w:val="0"/>
        <w:keepLines w:val="0"/>
        <w:pageBreakBefore w:val="0"/>
        <w:widowControl/>
        <w:kinsoku/>
        <w:wordWrap/>
        <w:overflowPunct/>
        <w:topLinePunct w:val="0"/>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赤峰市材料价格信息（202</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季度）及</w:t>
      </w:r>
      <w:r>
        <w:rPr>
          <w:rFonts w:hint="eastAsia" w:ascii="宋体" w:hAnsi="宋体" w:eastAsia="宋体" w:cs="宋体"/>
          <w:color w:val="auto"/>
          <w:sz w:val="24"/>
          <w:szCs w:val="24"/>
          <w:highlight w:val="none"/>
          <w:lang w:eastAsia="zh-CN"/>
        </w:rPr>
        <w:t>赤峰市</w:t>
      </w:r>
      <w:r>
        <w:rPr>
          <w:rFonts w:hint="eastAsia" w:ascii="宋体" w:hAnsi="宋体" w:eastAsia="宋体" w:cs="宋体"/>
          <w:color w:val="auto"/>
          <w:sz w:val="24"/>
          <w:szCs w:val="24"/>
          <w:highlight w:val="none"/>
          <w:lang w:val="en-US" w:eastAsia="zh-CN"/>
        </w:rPr>
        <w:t>元宝山区</w:t>
      </w:r>
      <w:r>
        <w:rPr>
          <w:rFonts w:hint="eastAsia" w:ascii="宋体" w:hAnsi="宋体" w:eastAsia="宋体" w:cs="宋体"/>
          <w:color w:val="auto"/>
          <w:sz w:val="24"/>
          <w:szCs w:val="24"/>
          <w:highlight w:val="none"/>
        </w:rPr>
        <w:t>材料价格市场询价。</w:t>
      </w:r>
    </w:p>
    <w:p>
      <w:pPr>
        <w:keepNext w:val="0"/>
        <w:keepLines w:val="0"/>
        <w:pageBreakBefore w:val="0"/>
        <w:widowControl/>
        <w:tabs>
          <w:tab w:val="left" w:pos="720"/>
        </w:tabs>
        <w:kinsoku/>
        <w:wordWrap/>
        <w:overflowPunct/>
        <w:topLinePunct w:val="0"/>
        <w:autoSpaceDE w:val="0"/>
        <w:autoSpaceDN w:val="0"/>
        <w:bidi w:val="0"/>
        <w:adjustRightInd w:val="0"/>
        <w:snapToGrid w:val="0"/>
        <w:spacing w:line="360" w:lineRule="auto"/>
        <w:ind w:firstLine="482" w:firstLineChars="200"/>
        <w:jc w:val="lef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2、</w:t>
      </w:r>
      <w:r>
        <w:rPr>
          <w:rFonts w:hint="eastAsia" w:ascii="宋体" w:hAnsi="宋体" w:eastAsia="宋体" w:cs="宋体"/>
          <w:b/>
          <w:color w:val="auto"/>
          <w:sz w:val="24"/>
          <w:szCs w:val="24"/>
          <w:highlight w:val="none"/>
        </w:rPr>
        <w:t>费用计算</w:t>
      </w:r>
    </w:p>
    <w:p>
      <w:pPr>
        <w:keepNext w:val="0"/>
        <w:keepLines w:val="0"/>
        <w:pageBreakBefore w:val="0"/>
        <w:widowControl/>
        <w:kinsoku/>
        <w:wordWrap/>
        <w:overflowPunct/>
        <w:topLinePunct w:val="0"/>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bookmarkStart w:id="48" w:name="_Toc523390679"/>
      <w:r>
        <w:rPr>
          <w:rFonts w:hint="eastAsia" w:ascii="宋体" w:hAnsi="宋体" w:eastAsia="宋体" w:cs="宋体"/>
          <w:color w:val="auto"/>
          <w:sz w:val="24"/>
          <w:szCs w:val="24"/>
          <w:highlight w:val="none"/>
        </w:rPr>
        <w:t>项目的投资为静态投资，其投资总额由静态投资和价差预备费组成。静态投资由工程施工费、其他费用、监测管护费、不可预见费组成。价差预备费是在方案编制年至矿山闭坑年期间，由于材料价格变化可能产生治理费用上浮而预留的费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年度治理计划书不涉及</w:t>
      </w:r>
      <w:r>
        <w:rPr>
          <w:rFonts w:hint="eastAsia" w:ascii="宋体" w:hAnsi="宋体" w:eastAsia="宋体" w:cs="宋体"/>
          <w:color w:val="auto"/>
          <w:sz w:val="24"/>
          <w:szCs w:val="24"/>
          <w:highlight w:val="none"/>
        </w:rPr>
        <w:t>价差预备费</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。具体计费标准如下：</w:t>
      </w:r>
    </w:p>
    <w:p>
      <w:pPr>
        <w:keepNext w:val="0"/>
        <w:keepLines w:val="0"/>
        <w:pageBreakBefore w:val="0"/>
        <w:widowControl/>
        <w:kinsoku/>
        <w:wordWrap/>
        <w:overflowPunct/>
        <w:topLinePunct w:val="0"/>
        <w:bidi w:val="0"/>
        <w:adjustRightInd w:val="0"/>
        <w:snapToGrid w:val="0"/>
        <w:spacing w:line="360" w:lineRule="auto"/>
        <w:ind w:firstLine="480" w:firstLineChars="200"/>
        <w:jc w:val="left"/>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（1）</w:t>
      </w:r>
      <w:r>
        <w:rPr>
          <w:rFonts w:hint="eastAsia" w:ascii="宋体" w:hAnsi="宋体" w:eastAsia="宋体" w:cs="宋体"/>
          <w:b w:val="0"/>
          <w:bCs/>
          <w:color w:val="auto"/>
          <w:sz w:val="24"/>
          <w:szCs w:val="24"/>
          <w:highlight w:val="none"/>
        </w:rPr>
        <w:t>工程施工费</w:t>
      </w:r>
    </w:p>
    <w:p>
      <w:pPr>
        <w:keepNext w:val="0"/>
        <w:keepLines w:val="0"/>
        <w:pageBreakBefore w:val="0"/>
        <w:widowControl/>
        <w:kinsoku/>
        <w:wordWrap/>
        <w:overflowPunct/>
        <w:topLinePunct w:val="0"/>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工程施工费包括直接费、间接费、利润和税金。</w:t>
      </w:r>
    </w:p>
    <w:p>
      <w:pPr>
        <w:keepNext w:val="0"/>
        <w:keepLines w:val="0"/>
        <w:pageBreakBefore w:val="0"/>
        <w:widowControl/>
        <w:kinsoku/>
        <w:wordWrap/>
        <w:overflowPunct/>
        <w:topLinePunct w:val="0"/>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a、</w:t>
      </w:r>
      <w:r>
        <w:rPr>
          <w:rFonts w:hint="eastAsia" w:ascii="宋体" w:hAnsi="宋体" w:eastAsia="宋体" w:cs="宋体"/>
          <w:color w:val="auto"/>
          <w:sz w:val="24"/>
          <w:szCs w:val="24"/>
          <w:highlight w:val="none"/>
        </w:rPr>
        <w:t>直接费</w:t>
      </w:r>
    </w:p>
    <w:p>
      <w:pPr>
        <w:keepNext w:val="0"/>
        <w:keepLines w:val="0"/>
        <w:pageBreakBefore w:val="0"/>
        <w:widowControl/>
        <w:kinsoku/>
        <w:wordWrap/>
        <w:overflowPunct/>
        <w:topLinePunct w:val="0"/>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直接费指工程施工过程中直接消耗在工程项目上的活劳动和物化劳动。由直接工程费、措施费组成。</w:t>
      </w: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Chars="20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①直接工程费</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直接工程费由人工费、材料费、施工机械使用费组成。</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人工费=定额劳动量（工日）×人工概算单价（元／工日），人工单价根据《内蒙古自治区矿山地质环境治理工程预算定额标准》的规定计取，</w:t>
      </w:r>
      <w:r>
        <w:rPr>
          <w:rFonts w:hint="eastAsia" w:ascii="宋体" w:hAnsi="宋体" w:eastAsia="宋体" w:cs="宋体"/>
          <w:color w:val="auto"/>
          <w:sz w:val="24"/>
          <w:szCs w:val="24"/>
          <w:highlight w:val="none"/>
          <w:lang w:eastAsia="zh-CN"/>
        </w:rPr>
        <w:t>赤峰市</w:t>
      </w:r>
      <w:r>
        <w:rPr>
          <w:rFonts w:hint="eastAsia" w:ascii="宋体" w:hAnsi="宋体" w:eastAsia="宋体" w:cs="宋体"/>
          <w:color w:val="auto"/>
          <w:sz w:val="24"/>
          <w:szCs w:val="24"/>
          <w:highlight w:val="none"/>
          <w:lang w:val="en-US" w:eastAsia="zh-CN"/>
        </w:rPr>
        <w:t>元宝山</w:t>
      </w:r>
      <w:r>
        <w:rPr>
          <w:rFonts w:hint="eastAsia" w:ascii="宋体" w:hAnsi="宋体" w:eastAsia="宋体" w:cs="宋体"/>
          <w:color w:val="auto"/>
          <w:sz w:val="24"/>
          <w:szCs w:val="24"/>
          <w:highlight w:val="none"/>
          <w:lang w:eastAsia="zh-CN"/>
        </w:rPr>
        <w:t>区</w:t>
      </w:r>
      <w:r>
        <w:rPr>
          <w:rFonts w:hint="eastAsia" w:ascii="宋体" w:hAnsi="宋体" w:eastAsia="宋体" w:cs="宋体"/>
          <w:color w:val="auto"/>
          <w:sz w:val="24"/>
          <w:szCs w:val="24"/>
          <w:highlight w:val="none"/>
        </w:rPr>
        <w:t>属于</w:t>
      </w:r>
      <w:r>
        <w:rPr>
          <w:rFonts w:hint="eastAsia" w:ascii="宋体" w:hAnsi="宋体" w:eastAsia="宋体" w:cs="宋体"/>
          <w:color w:val="auto"/>
          <w:sz w:val="24"/>
          <w:szCs w:val="24"/>
          <w:highlight w:val="none"/>
          <w:lang w:eastAsia="zh-CN"/>
        </w:rPr>
        <w:t>二</w:t>
      </w:r>
      <w:r>
        <w:rPr>
          <w:rFonts w:hint="eastAsia" w:ascii="宋体" w:hAnsi="宋体" w:eastAsia="宋体" w:cs="宋体"/>
          <w:color w:val="auto"/>
          <w:sz w:val="24"/>
          <w:szCs w:val="24"/>
          <w:highlight w:val="none"/>
        </w:rPr>
        <w:t>类区，甲类工</w:t>
      </w:r>
      <w:r>
        <w:rPr>
          <w:rFonts w:hint="eastAsia" w:ascii="宋体" w:hAnsi="宋体" w:eastAsia="宋体" w:cs="宋体"/>
          <w:color w:val="auto"/>
          <w:sz w:val="24"/>
          <w:szCs w:val="24"/>
          <w:highlight w:val="none"/>
          <w:lang w:val="en-US" w:eastAsia="zh-CN"/>
        </w:rPr>
        <w:t>94.15</w:t>
      </w:r>
      <w:r>
        <w:rPr>
          <w:rFonts w:hint="eastAsia" w:ascii="宋体" w:hAnsi="宋体" w:eastAsia="宋体" w:cs="宋体"/>
          <w:color w:val="auto"/>
          <w:sz w:val="24"/>
          <w:szCs w:val="24"/>
          <w:highlight w:val="none"/>
        </w:rPr>
        <w:t>元／工日，乙类工</w:t>
      </w:r>
      <w:r>
        <w:rPr>
          <w:rFonts w:hint="eastAsia" w:ascii="宋体" w:hAnsi="宋体" w:eastAsia="宋体" w:cs="宋体"/>
          <w:color w:val="auto"/>
          <w:sz w:val="24"/>
          <w:szCs w:val="24"/>
          <w:highlight w:val="none"/>
          <w:lang w:val="en-US" w:eastAsia="zh-CN"/>
        </w:rPr>
        <w:t>69.11</w:t>
      </w:r>
      <w:r>
        <w:rPr>
          <w:rFonts w:hint="eastAsia" w:ascii="宋体" w:hAnsi="宋体" w:eastAsia="宋体" w:cs="宋体"/>
          <w:color w:val="auto"/>
          <w:sz w:val="24"/>
          <w:szCs w:val="24"/>
          <w:highlight w:val="none"/>
        </w:rPr>
        <w:t>元／工日。</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材料费=定额材料用量×材料单价，主要材料单价按照《内蒙古自治区矿山地质环境治理工程预算定额标准》编制，超出限价部分单独计算材料价差，主要材料以外的材料价格以赤峰市或</w:t>
      </w:r>
      <w:r>
        <w:rPr>
          <w:rFonts w:hint="eastAsia" w:ascii="宋体" w:hAnsi="宋体" w:eastAsia="宋体" w:cs="宋体"/>
          <w:color w:val="auto"/>
          <w:sz w:val="24"/>
          <w:szCs w:val="24"/>
          <w:highlight w:val="none"/>
          <w:lang w:eastAsia="zh-CN"/>
        </w:rPr>
        <w:t>赤峰市</w:t>
      </w:r>
      <w:r>
        <w:rPr>
          <w:rFonts w:hint="eastAsia" w:ascii="宋体" w:hAnsi="宋体" w:eastAsia="宋体" w:cs="宋体"/>
          <w:color w:val="auto"/>
          <w:sz w:val="24"/>
          <w:szCs w:val="24"/>
          <w:highlight w:val="none"/>
          <w:lang w:val="en-US" w:eastAsia="zh-CN"/>
        </w:rPr>
        <w:t>元宝山区</w:t>
      </w:r>
      <w:r>
        <w:rPr>
          <w:rFonts w:hint="eastAsia" w:ascii="宋体" w:hAnsi="宋体" w:eastAsia="宋体" w:cs="宋体"/>
          <w:color w:val="auto"/>
          <w:sz w:val="24"/>
          <w:szCs w:val="24"/>
          <w:highlight w:val="none"/>
        </w:rPr>
        <w:t>202</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季度市场价格计取并以材料到工地实际价格计。</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施工机械使用费=定额机械使用量（台班）×施工机械台班费（元／台班）。台班费定额依据《内蒙古自治区矿山地质环境治理工程预算定额标准》编制。</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②措施费</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措施费是指为完成工程项目施工，发生于该工程施工前和施工过程中非工程实体项目的费用，包括临时设施费、冬雨季施工增加费、施工辅助费和安全施工措施费，本项目不计夜间施工增加费。措施费按项目直接工程费×措施费费率进行计算。其费率依据《内蒙古自治区矿山地质环境治理工程预算定额标准》计取。</w:t>
      </w:r>
    </w:p>
    <w:p>
      <w:pPr>
        <w:keepNext w:val="0"/>
        <w:keepLines w:val="0"/>
        <w:pageBreakBefore w:val="0"/>
        <w:widowControl w:val="0"/>
        <w:tabs>
          <w:tab w:val="left" w:pos="7235"/>
        </w:tabs>
        <w:kinsoku/>
        <w:wordWrap/>
        <w:overflowPunct/>
        <w:topLinePunct w:val="0"/>
        <w:autoSpaceDE/>
        <w:autoSpaceDN/>
        <w:bidi w:val="0"/>
        <w:adjustRightInd w:val="0"/>
        <w:snapToGrid w:val="0"/>
        <w:spacing w:line="360" w:lineRule="auto"/>
        <w:ind w:firstLine="0" w:firstLineChars="0"/>
        <w:jc w:val="center"/>
        <w:textAlignment w:val="auto"/>
        <w:rPr>
          <w:rFonts w:hint="eastAsia" w:ascii="宋体" w:hAnsi="宋体" w:eastAsia="宋体" w:cs="宋体"/>
          <w:b/>
          <w:color w:val="auto"/>
          <w:sz w:val="21"/>
          <w:szCs w:val="21"/>
          <w:highlight w:val="none"/>
        </w:rPr>
      </w:pPr>
      <w:r>
        <w:rPr>
          <w:rFonts w:hint="eastAsia" w:ascii="宋体" w:hAnsi="宋体" w:eastAsia="宋体" w:cs="宋体"/>
          <w:b w:val="0"/>
          <w:bCs/>
          <w:color w:val="auto"/>
          <w:sz w:val="24"/>
          <w:szCs w:val="24"/>
          <w:highlight w:val="none"/>
        </w:rPr>
        <w:t>表</w:t>
      </w:r>
      <w:r>
        <w:rPr>
          <w:rFonts w:hint="eastAsia" w:ascii="宋体" w:hAnsi="宋体" w:eastAsia="宋体" w:cs="宋体"/>
          <w:b w:val="0"/>
          <w:bCs/>
          <w:color w:val="auto"/>
          <w:sz w:val="24"/>
          <w:szCs w:val="24"/>
          <w:highlight w:val="none"/>
          <w:lang w:val="en-US" w:eastAsia="zh-CN"/>
        </w:rPr>
        <w:t>6</w:t>
      </w:r>
      <w:r>
        <w:rPr>
          <w:rFonts w:hint="eastAsia" w:ascii="宋体" w:hAnsi="宋体" w:eastAsia="宋体" w:cs="宋体"/>
          <w:b w:val="0"/>
          <w:bCs/>
          <w:color w:val="auto"/>
          <w:sz w:val="24"/>
          <w:szCs w:val="24"/>
          <w:highlight w:val="none"/>
        </w:rPr>
        <w:t>-1  措施费费率表</w:t>
      </w:r>
    </w:p>
    <w:tbl>
      <w:tblPr>
        <w:tblStyle w:val="8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85"/>
        <w:gridCol w:w="1267"/>
        <w:gridCol w:w="1180"/>
        <w:gridCol w:w="1606"/>
        <w:gridCol w:w="1189"/>
        <w:gridCol w:w="1403"/>
        <w:gridCol w:w="11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lang w:val="zh-CN"/>
              </w:rPr>
            </w:pPr>
            <w:r>
              <w:rPr>
                <w:rFonts w:hint="eastAsia" w:ascii="宋体" w:hAnsi="宋体" w:eastAsia="宋体" w:cs="宋体"/>
                <w:color w:val="auto"/>
                <w:sz w:val="18"/>
                <w:szCs w:val="18"/>
                <w:highlight w:val="none"/>
                <w:lang w:val="zh-CN"/>
              </w:rPr>
              <w:t>序号</w:t>
            </w:r>
          </w:p>
        </w:tc>
        <w:tc>
          <w:tcPr>
            <w:tcW w:w="126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lang w:val="zh-CN"/>
              </w:rPr>
            </w:pPr>
            <w:r>
              <w:rPr>
                <w:rFonts w:hint="eastAsia" w:ascii="宋体" w:hAnsi="宋体" w:eastAsia="宋体" w:cs="宋体"/>
                <w:color w:val="auto"/>
                <w:sz w:val="18"/>
                <w:szCs w:val="18"/>
                <w:highlight w:val="none"/>
                <w:lang w:val="zh-CN"/>
              </w:rPr>
              <w:t>工程类别</w:t>
            </w:r>
          </w:p>
        </w:tc>
        <w:tc>
          <w:tcPr>
            <w:tcW w:w="11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lang w:val="zh-CN"/>
              </w:rPr>
            </w:pPr>
            <w:r>
              <w:rPr>
                <w:rFonts w:hint="eastAsia" w:ascii="宋体" w:hAnsi="宋体" w:eastAsia="宋体" w:cs="宋体"/>
                <w:color w:val="auto"/>
                <w:sz w:val="18"/>
                <w:szCs w:val="18"/>
                <w:highlight w:val="none"/>
                <w:lang w:val="zh-CN"/>
              </w:rPr>
              <w:t>临时设施费率（%）</w:t>
            </w:r>
          </w:p>
        </w:tc>
        <w:tc>
          <w:tcPr>
            <w:tcW w:w="16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lang w:val="zh-CN"/>
              </w:rPr>
            </w:pPr>
            <w:r>
              <w:rPr>
                <w:rFonts w:hint="eastAsia" w:ascii="宋体" w:hAnsi="宋体" w:eastAsia="宋体" w:cs="宋体"/>
                <w:color w:val="auto"/>
                <w:sz w:val="18"/>
                <w:szCs w:val="18"/>
                <w:highlight w:val="none"/>
                <w:lang w:val="zh-CN"/>
              </w:rPr>
              <w:t>冬雨季施工增加费率（%）</w:t>
            </w:r>
          </w:p>
        </w:tc>
        <w:tc>
          <w:tcPr>
            <w:tcW w:w="118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lang w:val="zh-CN"/>
              </w:rPr>
            </w:pPr>
            <w:r>
              <w:rPr>
                <w:rFonts w:hint="eastAsia" w:ascii="宋体" w:hAnsi="宋体" w:eastAsia="宋体" w:cs="宋体"/>
                <w:color w:val="auto"/>
                <w:sz w:val="18"/>
                <w:szCs w:val="18"/>
                <w:highlight w:val="none"/>
                <w:lang w:val="zh-CN"/>
              </w:rPr>
              <w:t>施工辅助</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lang w:val="zh-CN"/>
              </w:rPr>
            </w:pPr>
            <w:r>
              <w:rPr>
                <w:rFonts w:hint="eastAsia" w:ascii="宋体" w:hAnsi="宋体" w:eastAsia="宋体" w:cs="宋体"/>
                <w:color w:val="auto"/>
                <w:sz w:val="18"/>
                <w:szCs w:val="18"/>
                <w:highlight w:val="none"/>
                <w:lang w:val="zh-CN"/>
              </w:rPr>
              <w:t>费率（%）</w:t>
            </w:r>
          </w:p>
        </w:tc>
        <w:tc>
          <w:tcPr>
            <w:tcW w:w="140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lang w:val="zh-CN"/>
              </w:rPr>
            </w:pPr>
            <w:r>
              <w:rPr>
                <w:rFonts w:hint="eastAsia" w:ascii="宋体" w:hAnsi="宋体" w:eastAsia="宋体" w:cs="宋体"/>
                <w:color w:val="auto"/>
                <w:sz w:val="18"/>
                <w:szCs w:val="18"/>
                <w:highlight w:val="none"/>
                <w:lang w:val="zh-CN"/>
              </w:rPr>
              <w:t>安全施工措施费率（%）</w:t>
            </w:r>
          </w:p>
        </w:tc>
        <w:tc>
          <w:tcPr>
            <w:tcW w:w="110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lang w:val="zh-CN"/>
              </w:rPr>
            </w:pPr>
            <w:r>
              <w:rPr>
                <w:rFonts w:hint="eastAsia" w:ascii="宋体" w:hAnsi="宋体" w:eastAsia="宋体" w:cs="宋体"/>
                <w:color w:val="auto"/>
                <w:sz w:val="18"/>
                <w:szCs w:val="18"/>
                <w:highlight w:val="none"/>
                <w:lang w:val="zh-CN"/>
              </w:rPr>
              <w:t>费率合计（%）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lang w:val="zh-CN"/>
              </w:rPr>
            </w:pPr>
            <w:r>
              <w:rPr>
                <w:rFonts w:hint="eastAsia" w:ascii="宋体" w:hAnsi="宋体" w:eastAsia="宋体" w:cs="宋体"/>
                <w:color w:val="auto"/>
                <w:sz w:val="18"/>
                <w:szCs w:val="18"/>
                <w:highlight w:val="none"/>
                <w:lang w:val="zh-CN"/>
              </w:rPr>
              <w:t>1</w:t>
            </w:r>
          </w:p>
        </w:tc>
        <w:tc>
          <w:tcPr>
            <w:tcW w:w="126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lang w:val="zh-CN"/>
              </w:rPr>
            </w:pPr>
            <w:r>
              <w:rPr>
                <w:rFonts w:hint="eastAsia" w:ascii="宋体" w:hAnsi="宋体" w:eastAsia="宋体" w:cs="宋体"/>
                <w:color w:val="auto"/>
                <w:sz w:val="18"/>
                <w:szCs w:val="18"/>
                <w:highlight w:val="none"/>
                <w:lang w:val="zh-CN"/>
              </w:rPr>
              <w:t>土方工程</w:t>
            </w:r>
          </w:p>
        </w:tc>
        <w:tc>
          <w:tcPr>
            <w:tcW w:w="11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lang w:val="zh-CN"/>
              </w:rPr>
            </w:pPr>
            <w:r>
              <w:rPr>
                <w:rFonts w:hint="eastAsia" w:ascii="宋体" w:hAnsi="宋体" w:eastAsia="宋体" w:cs="宋体"/>
                <w:color w:val="auto"/>
                <w:sz w:val="18"/>
                <w:szCs w:val="18"/>
                <w:highlight w:val="none"/>
                <w:lang w:val="zh-CN"/>
              </w:rPr>
              <w:t>2</w:t>
            </w:r>
          </w:p>
        </w:tc>
        <w:tc>
          <w:tcPr>
            <w:tcW w:w="16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lang w:val="zh-CN"/>
              </w:rPr>
            </w:pPr>
            <w:r>
              <w:rPr>
                <w:rFonts w:hint="eastAsia" w:ascii="宋体" w:hAnsi="宋体" w:eastAsia="宋体" w:cs="宋体"/>
                <w:color w:val="auto"/>
                <w:sz w:val="18"/>
                <w:szCs w:val="18"/>
                <w:highlight w:val="none"/>
                <w:lang w:val="zh-CN"/>
              </w:rPr>
              <w:t>0.7</w:t>
            </w:r>
          </w:p>
        </w:tc>
        <w:tc>
          <w:tcPr>
            <w:tcW w:w="118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lang w:val="zh-CN"/>
              </w:rPr>
            </w:pPr>
            <w:r>
              <w:rPr>
                <w:rFonts w:hint="eastAsia" w:ascii="宋体" w:hAnsi="宋体" w:eastAsia="宋体" w:cs="宋体"/>
                <w:color w:val="auto"/>
                <w:sz w:val="18"/>
                <w:szCs w:val="18"/>
                <w:highlight w:val="none"/>
                <w:lang w:val="zh-CN"/>
              </w:rPr>
              <w:t>0.7</w:t>
            </w:r>
          </w:p>
        </w:tc>
        <w:tc>
          <w:tcPr>
            <w:tcW w:w="140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lang w:val="zh-CN"/>
              </w:rPr>
            </w:pPr>
            <w:r>
              <w:rPr>
                <w:rFonts w:hint="eastAsia" w:ascii="宋体" w:hAnsi="宋体" w:eastAsia="宋体" w:cs="宋体"/>
                <w:color w:val="auto"/>
                <w:sz w:val="18"/>
                <w:szCs w:val="18"/>
                <w:highlight w:val="none"/>
                <w:lang w:val="zh-CN"/>
              </w:rPr>
              <w:t>0.2</w:t>
            </w:r>
          </w:p>
        </w:tc>
        <w:tc>
          <w:tcPr>
            <w:tcW w:w="110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lang w:val="zh-CN"/>
              </w:rPr>
            </w:pPr>
            <w:r>
              <w:rPr>
                <w:rFonts w:hint="eastAsia" w:ascii="宋体" w:hAnsi="宋体" w:eastAsia="宋体" w:cs="宋体"/>
                <w:color w:val="auto"/>
                <w:sz w:val="18"/>
                <w:szCs w:val="18"/>
                <w:highlight w:val="none"/>
                <w:lang w:val="zh-CN"/>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lang w:val="zh-CN"/>
              </w:rPr>
            </w:pPr>
            <w:r>
              <w:rPr>
                <w:rFonts w:hint="eastAsia" w:ascii="宋体" w:hAnsi="宋体" w:eastAsia="宋体" w:cs="宋体"/>
                <w:color w:val="auto"/>
                <w:sz w:val="18"/>
                <w:szCs w:val="18"/>
                <w:highlight w:val="none"/>
                <w:lang w:val="zh-CN"/>
              </w:rPr>
              <w:t>2</w:t>
            </w:r>
          </w:p>
        </w:tc>
        <w:tc>
          <w:tcPr>
            <w:tcW w:w="126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lang w:val="zh-CN"/>
              </w:rPr>
            </w:pPr>
            <w:r>
              <w:rPr>
                <w:rFonts w:hint="eastAsia" w:ascii="宋体" w:hAnsi="宋体" w:eastAsia="宋体" w:cs="宋体"/>
                <w:color w:val="auto"/>
                <w:sz w:val="18"/>
                <w:szCs w:val="18"/>
                <w:highlight w:val="none"/>
                <w:lang w:val="zh-CN"/>
              </w:rPr>
              <w:t>石方工程</w:t>
            </w:r>
          </w:p>
        </w:tc>
        <w:tc>
          <w:tcPr>
            <w:tcW w:w="11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lang w:val="zh-CN"/>
              </w:rPr>
            </w:pPr>
            <w:r>
              <w:rPr>
                <w:rFonts w:hint="eastAsia" w:ascii="宋体" w:hAnsi="宋体" w:eastAsia="宋体" w:cs="宋体"/>
                <w:color w:val="auto"/>
                <w:sz w:val="18"/>
                <w:szCs w:val="18"/>
                <w:highlight w:val="none"/>
                <w:lang w:val="zh-CN"/>
              </w:rPr>
              <w:t>2</w:t>
            </w:r>
          </w:p>
        </w:tc>
        <w:tc>
          <w:tcPr>
            <w:tcW w:w="16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lang w:val="zh-CN"/>
              </w:rPr>
              <w:t>0.7</w:t>
            </w:r>
          </w:p>
        </w:tc>
        <w:tc>
          <w:tcPr>
            <w:tcW w:w="118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lang w:val="zh-CN"/>
              </w:rPr>
              <w:t>0.7</w:t>
            </w:r>
          </w:p>
        </w:tc>
        <w:tc>
          <w:tcPr>
            <w:tcW w:w="140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lang w:val="zh-CN"/>
              </w:rPr>
              <w:t>0.2</w:t>
            </w:r>
          </w:p>
        </w:tc>
        <w:tc>
          <w:tcPr>
            <w:tcW w:w="110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lang w:val="zh-CN"/>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lang w:val="zh-CN"/>
              </w:rPr>
            </w:pPr>
            <w:r>
              <w:rPr>
                <w:rFonts w:hint="eastAsia" w:ascii="宋体" w:hAnsi="宋体" w:eastAsia="宋体" w:cs="宋体"/>
                <w:color w:val="auto"/>
                <w:sz w:val="18"/>
                <w:szCs w:val="18"/>
                <w:highlight w:val="none"/>
                <w:lang w:val="zh-CN"/>
              </w:rPr>
              <w:t>3</w:t>
            </w:r>
          </w:p>
        </w:tc>
        <w:tc>
          <w:tcPr>
            <w:tcW w:w="126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lang w:val="zh-CN"/>
              </w:rPr>
            </w:pPr>
            <w:r>
              <w:rPr>
                <w:rFonts w:hint="eastAsia" w:ascii="宋体" w:hAnsi="宋体" w:eastAsia="宋体" w:cs="宋体"/>
                <w:color w:val="auto"/>
                <w:sz w:val="18"/>
                <w:szCs w:val="18"/>
                <w:highlight w:val="none"/>
                <w:lang w:val="zh-CN"/>
              </w:rPr>
              <w:t>砌体工程</w:t>
            </w:r>
          </w:p>
        </w:tc>
        <w:tc>
          <w:tcPr>
            <w:tcW w:w="11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lang w:val="zh-CN"/>
              </w:rPr>
            </w:pPr>
            <w:r>
              <w:rPr>
                <w:rFonts w:hint="eastAsia" w:ascii="宋体" w:hAnsi="宋体" w:eastAsia="宋体" w:cs="宋体"/>
                <w:color w:val="auto"/>
                <w:sz w:val="18"/>
                <w:szCs w:val="18"/>
                <w:highlight w:val="none"/>
                <w:lang w:val="zh-CN"/>
              </w:rPr>
              <w:t>2</w:t>
            </w:r>
          </w:p>
        </w:tc>
        <w:tc>
          <w:tcPr>
            <w:tcW w:w="16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lang w:val="zh-CN"/>
              </w:rPr>
              <w:t>0.7</w:t>
            </w:r>
          </w:p>
        </w:tc>
        <w:tc>
          <w:tcPr>
            <w:tcW w:w="118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lang w:val="zh-CN"/>
              </w:rPr>
              <w:t>0.7</w:t>
            </w:r>
          </w:p>
        </w:tc>
        <w:tc>
          <w:tcPr>
            <w:tcW w:w="140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lang w:val="zh-CN"/>
              </w:rPr>
              <w:t>0.2</w:t>
            </w:r>
          </w:p>
        </w:tc>
        <w:tc>
          <w:tcPr>
            <w:tcW w:w="110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lang w:val="zh-CN"/>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lang w:val="zh-CN"/>
              </w:rPr>
            </w:pPr>
            <w:r>
              <w:rPr>
                <w:rFonts w:hint="eastAsia" w:ascii="宋体" w:hAnsi="宋体" w:eastAsia="宋体" w:cs="宋体"/>
                <w:color w:val="auto"/>
                <w:sz w:val="18"/>
                <w:szCs w:val="18"/>
                <w:highlight w:val="none"/>
                <w:lang w:val="zh-CN"/>
              </w:rPr>
              <w:t>4</w:t>
            </w:r>
          </w:p>
        </w:tc>
        <w:tc>
          <w:tcPr>
            <w:tcW w:w="126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lang w:val="zh-CN"/>
              </w:rPr>
            </w:pPr>
            <w:r>
              <w:rPr>
                <w:rFonts w:hint="eastAsia" w:ascii="宋体" w:hAnsi="宋体" w:eastAsia="宋体" w:cs="宋体"/>
                <w:color w:val="auto"/>
                <w:sz w:val="18"/>
                <w:szCs w:val="18"/>
                <w:highlight w:val="none"/>
                <w:lang w:val="zh-CN"/>
              </w:rPr>
              <w:t>混凝土工程</w:t>
            </w:r>
          </w:p>
        </w:tc>
        <w:tc>
          <w:tcPr>
            <w:tcW w:w="11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lang w:val="zh-CN"/>
              </w:rPr>
            </w:pPr>
            <w:r>
              <w:rPr>
                <w:rFonts w:hint="eastAsia" w:ascii="宋体" w:hAnsi="宋体" w:eastAsia="宋体" w:cs="宋体"/>
                <w:color w:val="auto"/>
                <w:sz w:val="18"/>
                <w:szCs w:val="18"/>
                <w:highlight w:val="none"/>
                <w:lang w:val="zh-CN"/>
              </w:rPr>
              <w:t>3</w:t>
            </w:r>
          </w:p>
        </w:tc>
        <w:tc>
          <w:tcPr>
            <w:tcW w:w="16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lang w:val="zh-CN"/>
              </w:rPr>
              <w:t>0.7</w:t>
            </w:r>
          </w:p>
        </w:tc>
        <w:tc>
          <w:tcPr>
            <w:tcW w:w="118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lang w:val="zh-CN"/>
              </w:rPr>
              <w:t>0.7</w:t>
            </w:r>
          </w:p>
        </w:tc>
        <w:tc>
          <w:tcPr>
            <w:tcW w:w="140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lang w:val="zh-CN"/>
              </w:rPr>
              <w:t>0.2</w:t>
            </w:r>
          </w:p>
        </w:tc>
        <w:tc>
          <w:tcPr>
            <w:tcW w:w="110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lang w:val="zh-CN"/>
              </w:rPr>
            </w:pPr>
            <w:r>
              <w:rPr>
                <w:rFonts w:hint="eastAsia" w:ascii="宋体" w:hAnsi="宋体" w:eastAsia="宋体" w:cs="宋体"/>
                <w:color w:val="auto"/>
                <w:sz w:val="18"/>
                <w:szCs w:val="18"/>
                <w:highlight w:val="none"/>
                <w:lang w:val="zh-CN"/>
              </w:rPr>
              <w:t>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lang w:val="zh-CN"/>
              </w:rPr>
            </w:pPr>
            <w:r>
              <w:rPr>
                <w:rFonts w:hint="eastAsia" w:ascii="宋体" w:hAnsi="宋体" w:eastAsia="宋体" w:cs="宋体"/>
                <w:color w:val="auto"/>
                <w:sz w:val="18"/>
                <w:szCs w:val="18"/>
                <w:highlight w:val="none"/>
                <w:lang w:val="zh-CN"/>
              </w:rPr>
              <w:t>5</w:t>
            </w:r>
          </w:p>
        </w:tc>
        <w:tc>
          <w:tcPr>
            <w:tcW w:w="126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lang w:val="zh-CN"/>
              </w:rPr>
            </w:pPr>
            <w:r>
              <w:rPr>
                <w:rFonts w:hint="eastAsia" w:ascii="宋体" w:hAnsi="宋体" w:eastAsia="宋体" w:cs="宋体"/>
                <w:color w:val="auto"/>
                <w:sz w:val="18"/>
                <w:szCs w:val="18"/>
                <w:highlight w:val="none"/>
                <w:lang w:val="zh-CN"/>
              </w:rPr>
              <w:t>植被工程</w:t>
            </w:r>
          </w:p>
        </w:tc>
        <w:tc>
          <w:tcPr>
            <w:tcW w:w="11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lang w:val="zh-CN"/>
              </w:rPr>
            </w:pPr>
            <w:r>
              <w:rPr>
                <w:rFonts w:hint="eastAsia" w:ascii="宋体" w:hAnsi="宋体" w:eastAsia="宋体" w:cs="宋体"/>
                <w:color w:val="auto"/>
                <w:sz w:val="18"/>
                <w:szCs w:val="18"/>
                <w:highlight w:val="none"/>
                <w:lang w:val="zh-CN"/>
              </w:rPr>
              <w:t>2</w:t>
            </w:r>
          </w:p>
        </w:tc>
        <w:tc>
          <w:tcPr>
            <w:tcW w:w="16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lang w:val="zh-CN"/>
              </w:rPr>
              <w:t>0.7</w:t>
            </w:r>
          </w:p>
        </w:tc>
        <w:tc>
          <w:tcPr>
            <w:tcW w:w="118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lang w:val="zh-CN"/>
              </w:rPr>
              <w:t>0.7</w:t>
            </w:r>
          </w:p>
        </w:tc>
        <w:tc>
          <w:tcPr>
            <w:tcW w:w="140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lang w:val="zh-CN"/>
              </w:rPr>
              <w:t>0.2</w:t>
            </w:r>
          </w:p>
        </w:tc>
        <w:tc>
          <w:tcPr>
            <w:tcW w:w="110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lang w:val="zh-CN"/>
              </w:rPr>
            </w:pPr>
            <w:r>
              <w:rPr>
                <w:rFonts w:hint="eastAsia" w:ascii="宋体" w:hAnsi="宋体" w:eastAsia="宋体" w:cs="宋体"/>
                <w:color w:val="auto"/>
                <w:sz w:val="18"/>
                <w:szCs w:val="18"/>
                <w:highlight w:val="none"/>
                <w:lang w:val="zh-CN"/>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lang w:val="zh-CN"/>
              </w:rPr>
            </w:pPr>
            <w:r>
              <w:rPr>
                <w:rFonts w:hint="eastAsia" w:ascii="宋体" w:hAnsi="宋体" w:eastAsia="宋体" w:cs="宋体"/>
                <w:color w:val="auto"/>
                <w:sz w:val="18"/>
                <w:szCs w:val="18"/>
                <w:highlight w:val="none"/>
                <w:lang w:val="zh-CN"/>
              </w:rPr>
              <w:t>5</w:t>
            </w:r>
          </w:p>
        </w:tc>
        <w:tc>
          <w:tcPr>
            <w:tcW w:w="126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lang w:val="zh-CN"/>
              </w:rPr>
            </w:pPr>
            <w:r>
              <w:rPr>
                <w:rFonts w:hint="eastAsia" w:ascii="宋体" w:hAnsi="宋体" w:eastAsia="宋体" w:cs="宋体"/>
                <w:color w:val="auto"/>
                <w:sz w:val="18"/>
                <w:szCs w:val="18"/>
                <w:highlight w:val="none"/>
                <w:lang w:val="zh-CN"/>
              </w:rPr>
              <w:t>辅助工程</w:t>
            </w:r>
          </w:p>
        </w:tc>
        <w:tc>
          <w:tcPr>
            <w:tcW w:w="11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lang w:val="zh-CN"/>
              </w:rPr>
            </w:pPr>
            <w:r>
              <w:rPr>
                <w:rFonts w:hint="eastAsia" w:ascii="宋体" w:hAnsi="宋体" w:eastAsia="宋体" w:cs="宋体"/>
                <w:color w:val="auto"/>
                <w:sz w:val="18"/>
                <w:szCs w:val="18"/>
                <w:highlight w:val="none"/>
                <w:lang w:val="zh-CN"/>
              </w:rPr>
              <w:t>2</w:t>
            </w:r>
          </w:p>
        </w:tc>
        <w:tc>
          <w:tcPr>
            <w:tcW w:w="16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lang w:val="zh-CN"/>
              </w:rPr>
              <w:t>0.7</w:t>
            </w:r>
          </w:p>
        </w:tc>
        <w:tc>
          <w:tcPr>
            <w:tcW w:w="118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lang w:val="zh-CN"/>
              </w:rPr>
              <w:t>0.7</w:t>
            </w:r>
          </w:p>
        </w:tc>
        <w:tc>
          <w:tcPr>
            <w:tcW w:w="140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lang w:val="zh-CN"/>
              </w:rPr>
              <w:t>0.2</w:t>
            </w:r>
          </w:p>
        </w:tc>
        <w:tc>
          <w:tcPr>
            <w:tcW w:w="110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lang w:val="zh-CN"/>
              </w:rPr>
              <w:t>3.6</w:t>
            </w:r>
          </w:p>
        </w:tc>
      </w:tr>
    </w:tbl>
    <w:p>
      <w:pPr>
        <w:wordWrap/>
        <w:spacing w:before="120"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b</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间接费</w:t>
      </w:r>
    </w:p>
    <w:p>
      <w:pPr>
        <w:wordWrap/>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间接费包括企业管理费和规费，依据《内蒙古自治区矿山地质环境治理工程预算定额标准》规定，间接费率按工程类别进行计取，间接费按项目直接费×间接费费率进行计算。</w:t>
      </w:r>
    </w:p>
    <w:p>
      <w:pPr>
        <w:keepNext w:val="0"/>
        <w:keepLines w:val="0"/>
        <w:pageBreakBefore w:val="0"/>
        <w:widowControl w:val="0"/>
        <w:tabs>
          <w:tab w:val="left" w:pos="7235"/>
        </w:tabs>
        <w:kinsoku/>
        <w:wordWrap/>
        <w:overflowPunct/>
        <w:topLinePunct w:val="0"/>
        <w:autoSpaceDE/>
        <w:autoSpaceDN/>
        <w:bidi w:val="0"/>
        <w:adjustRightInd w:val="0"/>
        <w:snapToGrid w:val="0"/>
        <w:spacing w:line="360" w:lineRule="auto"/>
        <w:ind w:right="0" w:rightChars="0" w:firstLine="0" w:firstLineChars="0"/>
        <w:jc w:val="center"/>
        <w:textAlignment w:val="auto"/>
        <w:rPr>
          <w:rFonts w:hint="eastAsia" w:ascii="宋体" w:hAnsi="宋体" w:eastAsia="宋体" w:cs="宋体"/>
          <w:b/>
          <w:color w:val="auto"/>
          <w:sz w:val="21"/>
          <w:szCs w:val="21"/>
          <w:highlight w:val="none"/>
        </w:rPr>
      </w:pPr>
      <w:r>
        <w:rPr>
          <w:rFonts w:hint="eastAsia" w:ascii="宋体" w:hAnsi="宋体" w:eastAsia="宋体" w:cs="宋体"/>
          <w:b w:val="0"/>
          <w:bCs/>
          <w:color w:val="auto"/>
          <w:sz w:val="24"/>
          <w:szCs w:val="24"/>
          <w:highlight w:val="none"/>
        </w:rPr>
        <w:t>表</w:t>
      </w:r>
      <w:r>
        <w:rPr>
          <w:rFonts w:hint="eastAsia" w:ascii="宋体" w:hAnsi="宋体" w:eastAsia="宋体" w:cs="宋体"/>
          <w:b w:val="0"/>
          <w:bCs/>
          <w:color w:val="auto"/>
          <w:sz w:val="24"/>
          <w:szCs w:val="24"/>
          <w:highlight w:val="none"/>
          <w:lang w:val="en-US" w:eastAsia="zh-CN"/>
        </w:rPr>
        <w:t>6</w:t>
      </w:r>
      <w:r>
        <w:rPr>
          <w:rFonts w:hint="eastAsia" w:ascii="宋体" w:hAnsi="宋体" w:eastAsia="宋体" w:cs="宋体"/>
          <w:b w:val="0"/>
          <w:bCs/>
          <w:color w:val="auto"/>
          <w:sz w:val="24"/>
          <w:szCs w:val="24"/>
          <w:highlight w:val="none"/>
        </w:rPr>
        <w:t>-2  间接费费率表</w:t>
      </w:r>
    </w:p>
    <w:tbl>
      <w:tblPr>
        <w:tblStyle w:val="8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766"/>
        <w:gridCol w:w="2315"/>
        <w:gridCol w:w="2332"/>
        <w:gridCol w:w="1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76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lang w:val="zh-CN"/>
              </w:rPr>
            </w:pPr>
            <w:r>
              <w:rPr>
                <w:rFonts w:hint="eastAsia" w:ascii="宋体" w:hAnsi="宋体" w:eastAsia="宋体" w:cs="宋体"/>
                <w:color w:val="auto"/>
                <w:sz w:val="18"/>
                <w:szCs w:val="18"/>
                <w:highlight w:val="none"/>
                <w:lang w:val="zh-CN"/>
              </w:rPr>
              <w:t>序号</w:t>
            </w:r>
          </w:p>
        </w:tc>
        <w:tc>
          <w:tcPr>
            <w:tcW w:w="231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lang w:val="zh-CN"/>
              </w:rPr>
            </w:pPr>
            <w:r>
              <w:rPr>
                <w:rFonts w:hint="eastAsia" w:ascii="宋体" w:hAnsi="宋体" w:eastAsia="宋体" w:cs="宋体"/>
                <w:color w:val="auto"/>
                <w:sz w:val="18"/>
                <w:szCs w:val="18"/>
                <w:highlight w:val="none"/>
                <w:lang w:val="zh-CN"/>
              </w:rPr>
              <w:t>工程类别</w:t>
            </w:r>
          </w:p>
        </w:tc>
        <w:tc>
          <w:tcPr>
            <w:tcW w:w="233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lang w:val="zh-CN"/>
              </w:rPr>
            </w:pPr>
            <w:r>
              <w:rPr>
                <w:rFonts w:hint="eastAsia" w:ascii="宋体" w:hAnsi="宋体" w:eastAsia="宋体" w:cs="宋体"/>
                <w:color w:val="auto"/>
                <w:sz w:val="18"/>
                <w:szCs w:val="18"/>
                <w:highlight w:val="none"/>
                <w:lang w:val="zh-CN"/>
              </w:rPr>
              <w:t>计算基础</w:t>
            </w:r>
          </w:p>
        </w:tc>
        <w:tc>
          <w:tcPr>
            <w:tcW w:w="18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lang w:val="zh-CN"/>
              </w:rPr>
            </w:pPr>
            <w:r>
              <w:rPr>
                <w:rFonts w:hint="eastAsia" w:ascii="宋体" w:hAnsi="宋体" w:eastAsia="宋体" w:cs="宋体"/>
                <w:color w:val="auto"/>
                <w:sz w:val="18"/>
                <w:szCs w:val="18"/>
                <w:highlight w:val="none"/>
                <w:lang w:val="zh-CN"/>
              </w:rPr>
              <w:t>费率（%）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76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lang w:val="zh-CN"/>
              </w:rPr>
            </w:pPr>
            <w:r>
              <w:rPr>
                <w:rFonts w:hint="eastAsia" w:ascii="宋体" w:hAnsi="宋体" w:eastAsia="宋体" w:cs="宋体"/>
                <w:color w:val="auto"/>
                <w:sz w:val="18"/>
                <w:szCs w:val="18"/>
                <w:highlight w:val="none"/>
                <w:lang w:val="zh-CN"/>
              </w:rPr>
              <w:t>l</w:t>
            </w:r>
          </w:p>
        </w:tc>
        <w:tc>
          <w:tcPr>
            <w:tcW w:w="231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lang w:val="zh-CN"/>
              </w:rPr>
            </w:pPr>
            <w:r>
              <w:rPr>
                <w:rFonts w:hint="eastAsia" w:ascii="宋体" w:hAnsi="宋体" w:eastAsia="宋体" w:cs="宋体"/>
                <w:color w:val="auto"/>
                <w:sz w:val="18"/>
                <w:szCs w:val="18"/>
                <w:highlight w:val="none"/>
                <w:lang w:val="zh-CN"/>
              </w:rPr>
              <w:t>土方工程</w:t>
            </w:r>
          </w:p>
        </w:tc>
        <w:tc>
          <w:tcPr>
            <w:tcW w:w="233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lang w:val="zh-CN"/>
              </w:rPr>
            </w:pPr>
            <w:r>
              <w:rPr>
                <w:rFonts w:hint="eastAsia" w:ascii="宋体" w:hAnsi="宋体" w:eastAsia="宋体" w:cs="宋体"/>
                <w:color w:val="auto"/>
                <w:sz w:val="18"/>
                <w:szCs w:val="18"/>
                <w:highlight w:val="none"/>
                <w:lang w:val="zh-CN"/>
              </w:rPr>
              <w:t>直接费</w:t>
            </w:r>
          </w:p>
        </w:tc>
        <w:tc>
          <w:tcPr>
            <w:tcW w:w="18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lang w:val="zh-CN"/>
              </w:rPr>
            </w:pPr>
            <w:r>
              <w:rPr>
                <w:rFonts w:hint="eastAsia" w:ascii="宋体" w:hAnsi="宋体" w:eastAsia="宋体" w:cs="宋体"/>
                <w:color w:val="auto"/>
                <w:sz w:val="18"/>
                <w:szCs w:val="18"/>
                <w:highlight w:val="none"/>
                <w:lang w:val="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76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lang w:val="zh-CN"/>
              </w:rPr>
            </w:pPr>
            <w:r>
              <w:rPr>
                <w:rFonts w:hint="eastAsia" w:ascii="宋体" w:hAnsi="宋体" w:eastAsia="宋体" w:cs="宋体"/>
                <w:color w:val="auto"/>
                <w:sz w:val="18"/>
                <w:szCs w:val="18"/>
                <w:highlight w:val="none"/>
                <w:lang w:val="zh-CN"/>
              </w:rPr>
              <w:t>2</w:t>
            </w:r>
          </w:p>
        </w:tc>
        <w:tc>
          <w:tcPr>
            <w:tcW w:w="231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lang w:val="zh-CN"/>
              </w:rPr>
            </w:pPr>
            <w:r>
              <w:rPr>
                <w:rFonts w:hint="eastAsia" w:ascii="宋体" w:hAnsi="宋体" w:eastAsia="宋体" w:cs="宋体"/>
                <w:color w:val="auto"/>
                <w:sz w:val="18"/>
                <w:szCs w:val="18"/>
                <w:highlight w:val="none"/>
                <w:lang w:val="zh-CN"/>
              </w:rPr>
              <w:t>石方工程</w:t>
            </w:r>
          </w:p>
        </w:tc>
        <w:tc>
          <w:tcPr>
            <w:tcW w:w="233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lang w:val="zh-CN"/>
              </w:rPr>
            </w:pPr>
            <w:r>
              <w:rPr>
                <w:rFonts w:hint="eastAsia" w:ascii="宋体" w:hAnsi="宋体" w:eastAsia="宋体" w:cs="宋体"/>
                <w:color w:val="auto"/>
                <w:sz w:val="18"/>
                <w:szCs w:val="18"/>
                <w:highlight w:val="none"/>
                <w:lang w:val="zh-CN"/>
              </w:rPr>
              <w:t>直接费</w:t>
            </w:r>
          </w:p>
        </w:tc>
        <w:tc>
          <w:tcPr>
            <w:tcW w:w="18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lang w:val="zh-CN"/>
              </w:rPr>
            </w:pPr>
            <w:r>
              <w:rPr>
                <w:rFonts w:hint="eastAsia" w:ascii="宋体" w:hAnsi="宋体" w:eastAsia="宋体" w:cs="宋体"/>
                <w:color w:val="auto"/>
                <w:sz w:val="18"/>
                <w:szCs w:val="18"/>
                <w:highlight w:val="none"/>
                <w:lang w:val="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76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lang w:val="zh-CN"/>
              </w:rPr>
            </w:pPr>
            <w:r>
              <w:rPr>
                <w:rFonts w:hint="eastAsia" w:ascii="宋体" w:hAnsi="宋体" w:eastAsia="宋体" w:cs="宋体"/>
                <w:color w:val="auto"/>
                <w:sz w:val="18"/>
                <w:szCs w:val="18"/>
                <w:highlight w:val="none"/>
                <w:lang w:val="zh-CN"/>
              </w:rPr>
              <w:t>3</w:t>
            </w:r>
          </w:p>
        </w:tc>
        <w:tc>
          <w:tcPr>
            <w:tcW w:w="231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lang w:val="zh-CN"/>
              </w:rPr>
            </w:pPr>
            <w:r>
              <w:rPr>
                <w:rFonts w:hint="eastAsia" w:ascii="宋体" w:hAnsi="宋体" w:eastAsia="宋体" w:cs="宋体"/>
                <w:color w:val="auto"/>
                <w:sz w:val="18"/>
                <w:szCs w:val="18"/>
                <w:highlight w:val="none"/>
                <w:lang w:val="zh-CN"/>
              </w:rPr>
              <w:t>砌体工程</w:t>
            </w:r>
          </w:p>
        </w:tc>
        <w:tc>
          <w:tcPr>
            <w:tcW w:w="233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lang w:val="zh-CN"/>
              </w:rPr>
              <w:t>直接费</w:t>
            </w:r>
          </w:p>
        </w:tc>
        <w:tc>
          <w:tcPr>
            <w:tcW w:w="18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lang w:val="zh-CN"/>
              </w:rPr>
            </w:pPr>
            <w:r>
              <w:rPr>
                <w:rFonts w:hint="eastAsia" w:ascii="宋体" w:hAnsi="宋体" w:eastAsia="宋体" w:cs="宋体"/>
                <w:color w:val="auto"/>
                <w:sz w:val="18"/>
                <w:szCs w:val="18"/>
                <w:highlight w:val="none"/>
                <w:lang w:val="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76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lang w:val="zh-CN"/>
              </w:rPr>
            </w:pPr>
            <w:r>
              <w:rPr>
                <w:rFonts w:hint="eastAsia" w:ascii="宋体" w:hAnsi="宋体" w:eastAsia="宋体" w:cs="宋体"/>
                <w:color w:val="auto"/>
                <w:sz w:val="18"/>
                <w:szCs w:val="18"/>
                <w:highlight w:val="none"/>
                <w:lang w:val="zh-CN"/>
              </w:rPr>
              <w:t>4</w:t>
            </w:r>
          </w:p>
        </w:tc>
        <w:tc>
          <w:tcPr>
            <w:tcW w:w="231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lang w:val="zh-CN"/>
              </w:rPr>
            </w:pPr>
            <w:r>
              <w:rPr>
                <w:rFonts w:hint="eastAsia" w:ascii="宋体" w:hAnsi="宋体" w:eastAsia="宋体" w:cs="宋体"/>
                <w:color w:val="auto"/>
                <w:sz w:val="18"/>
                <w:szCs w:val="18"/>
                <w:highlight w:val="none"/>
                <w:lang w:val="zh-CN"/>
              </w:rPr>
              <w:t>混凝土工程</w:t>
            </w:r>
          </w:p>
        </w:tc>
        <w:tc>
          <w:tcPr>
            <w:tcW w:w="233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lang w:val="zh-CN"/>
              </w:rPr>
            </w:pPr>
            <w:r>
              <w:rPr>
                <w:rFonts w:hint="eastAsia" w:ascii="宋体" w:hAnsi="宋体" w:eastAsia="宋体" w:cs="宋体"/>
                <w:color w:val="auto"/>
                <w:sz w:val="18"/>
                <w:szCs w:val="18"/>
                <w:highlight w:val="none"/>
                <w:lang w:val="zh-CN"/>
              </w:rPr>
              <w:t>直接费</w:t>
            </w:r>
          </w:p>
        </w:tc>
        <w:tc>
          <w:tcPr>
            <w:tcW w:w="18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lang w:val="zh-CN"/>
              </w:rPr>
            </w:pPr>
            <w:r>
              <w:rPr>
                <w:rFonts w:hint="eastAsia" w:ascii="宋体" w:hAnsi="宋体" w:eastAsia="宋体" w:cs="宋体"/>
                <w:color w:val="auto"/>
                <w:sz w:val="18"/>
                <w:szCs w:val="18"/>
                <w:highlight w:val="none"/>
                <w:lang w:val="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76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lang w:val="zh-CN"/>
              </w:rPr>
            </w:pPr>
            <w:r>
              <w:rPr>
                <w:rFonts w:hint="eastAsia" w:ascii="宋体" w:hAnsi="宋体" w:eastAsia="宋体" w:cs="宋体"/>
                <w:color w:val="auto"/>
                <w:sz w:val="18"/>
                <w:szCs w:val="18"/>
                <w:highlight w:val="none"/>
                <w:lang w:val="zh-CN"/>
              </w:rPr>
              <w:t>5</w:t>
            </w:r>
          </w:p>
        </w:tc>
        <w:tc>
          <w:tcPr>
            <w:tcW w:w="231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lang w:val="zh-CN"/>
              </w:rPr>
            </w:pPr>
            <w:r>
              <w:rPr>
                <w:rFonts w:hint="eastAsia" w:ascii="宋体" w:hAnsi="宋体" w:eastAsia="宋体" w:cs="宋体"/>
                <w:color w:val="auto"/>
                <w:sz w:val="18"/>
                <w:szCs w:val="18"/>
                <w:highlight w:val="none"/>
                <w:lang w:val="zh-CN"/>
              </w:rPr>
              <w:t>植被工程</w:t>
            </w:r>
          </w:p>
        </w:tc>
        <w:tc>
          <w:tcPr>
            <w:tcW w:w="233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lang w:val="zh-CN"/>
              </w:rPr>
            </w:pPr>
            <w:r>
              <w:rPr>
                <w:rFonts w:hint="eastAsia" w:ascii="宋体" w:hAnsi="宋体" w:eastAsia="宋体" w:cs="宋体"/>
                <w:color w:val="auto"/>
                <w:sz w:val="18"/>
                <w:szCs w:val="18"/>
                <w:highlight w:val="none"/>
                <w:lang w:val="zh-CN"/>
              </w:rPr>
              <w:t>直接费</w:t>
            </w:r>
          </w:p>
        </w:tc>
        <w:tc>
          <w:tcPr>
            <w:tcW w:w="18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lang w:val="zh-CN"/>
              </w:rPr>
            </w:pPr>
            <w:r>
              <w:rPr>
                <w:rFonts w:hint="eastAsia" w:ascii="宋体" w:hAnsi="宋体" w:eastAsia="宋体" w:cs="宋体"/>
                <w:color w:val="auto"/>
                <w:sz w:val="18"/>
                <w:szCs w:val="18"/>
                <w:highlight w:val="none"/>
                <w:lang w:val="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76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lang w:val="zh-CN"/>
              </w:rPr>
            </w:pPr>
            <w:r>
              <w:rPr>
                <w:rFonts w:hint="eastAsia" w:ascii="宋体" w:hAnsi="宋体" w:eastAsia="宋体" w:cs="宋体"/>
                <w:color w:val="auto"/>
                <w:sz w:val="18"/>
                <w:szCs w:val="18"/>
                <w:highlight w:val="none"/>
                <w:lang w:val="zh-CN"/>
              </w:rPr>
              <w:t>6</w:t>
            </w:r>
          </w:p>
        </w:tc>
        <w:tc>
          <w:tcPr>
            <w:tcW w:w="231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lang w:val="zh-CN"/>
              </w:rPr>
            </w:pPr>
            <w:r>
              <w:rPr>
                <w:rFonts w:hint="eastAsia" w:ascii="宋体" w:hAnsi="宋体" w:eastAsia="宋体" w:cs="宋体"/>
                <w:color w:val="auto"/>
                <w:sz w:val="18"/>
                <w:szCs w:val="18"/>
                <w:highlight w:val="none"/>
                <w:lang w:val="zh-CN"/>
              </w:rPr>
              <w:t>辅助工程</w:t>
            </w:r>
          </w:p>
        </w:tc>
        <w:tc>
          <w:tcPr>
            <w:tcW w:w="233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lang w:val="zh-CN"/>
              </w:rPr>
              <w:t>直接费</w:t>
            </w:r>
          </w:p>
        </w:tc>
        <w:tc>
          <w:tcPr>
            <w:tcW w:w="185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lang w:val="zh-CN"/>
              </w:rPr>
            </w:pPr>
            <w:r>
              <w:rPr>
                <w:rFonts w:hint="eastAsia" w:ascii="宋体" w:hAnsi="宋体" w:eastAsia="宋体" w:cs="宋体"/>
                <w:color w:val="auto"/>
                <w:sz w:val="18"/>
                <w:szCs w:val="18"/>
                <w:highlight w:val="none"/>
                <w:lang w:val="zh-CN"/>
              </w:rPr>
              <w:t>5</w:t>
            </w:r>
          </w:p>
        </w:tc>
      </w:tr>
    </w:tbl>
    <w:p>
      <w:pPr>
        <w:wordWrap/>
        <w:spacing w:before="120"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c</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利润</w:t>
      </w:r>
    </w:p>
    <w:p>
      <w:pPr>
        <w:wordWrap/>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依据《内蒙古自治区矿山地质环境治理工程预算定额标准》规定，利润按直接费与间接费之和的3%计取。</w:t>
      </w:r>
    </w:p>
    <w:p>
      <w:pPr>
        <w:wordWrap/>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d</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税金</w:t>
      </w:r>
    </w:p>
    <w:p>
      <w:pPr>
        <w:wordWrap/>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依据《内蒙古自治区矿山地质环境治理工程预算定额标准》，税金按直接费、</w:t>
      </w:r>
    </w:p>
    <w:p>
      <w:pPr>
        <w:wordWrap/>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间接费、利润之和的3.28%计取。</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（2）</w:t>
      </w:r>
      <w:r>
        <w:rPr>
          <w:rFonts w:hint="eastAsia" w:ascii="宋体" w:hAnsi="宋体" w:eastAsia="宋体" w:cs="宋体"/>
          <w:b w:val="0"/>
          <w:bCs/>
          <w:color w:val="auto"/>
          <w:sz w:val="24"/>
          <w:szCs w:val="24"/>
          <w:highlight w:val="none"/>
        </w:rPr>
        <w:t>其他费用</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其他费用包括前期工作费、工程监理费、竣工验收费、项目管理费。</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a</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前期工作费</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包括项目可研论证费、项目勘测与设计费、项目招标代理费。</w:t>
      </w:r>
    </w:p>
    <w:p>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4"/>
          <w:szCs w:val="24"/>
          <w:highlight w:val="none"/>
        </w:rPr>
        <w:t>项目可研论证费以工程施工费作为计费基数，采用分档定额计费方式计算，各区间按内插法确定。</w:t>
      </w:r>
    </w:p>
    <w:p>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eastAsia" w:ascii="宋体" w:hAnsi="宋体" w:eastAsia="宋体" w:cs="宋体"/>
          <w:b/>
          <w:color w:val="auto"/>
          <w:sz w:val="21"/>
          <w:szCs w:val="21"/>
          <w:highlight w:val="none"/>
        </w:rPr>
      </w:pPr>
      <w:r>
        <w:rPr>
          <w:rFonts w:hint="eastAsia" w:ascii="宋体" w:hAnsi="宋体" w:eastAsia="宋体" w:cs="宋体"/>
          <w:b w:val="0"/>
          <w:bCs/>
          <w:color w:val="auto"/>
          <w:sz w:val="24"/>
          <w:szCs w:val="24"/>
          <w:highlight w:val="none"/>
        </w:rPr>
        <w:t>表</w:t>
      </w:r>
      <w:r>
        <w:rPr>
          <w:rFonts w:hint="eastAsia" w:ascii="宋体" w:hAnsi="宋体" w:eastAsia="宋体" w:cs="宋体"/>
          <w:b w:val="0"/>
          <w:bCs/>
          <w:color w:val="auto"/>
          <w:sz w:val="24"/>
          <w:szCs w:val="24"/>
          <w:highlight w:val="none"/>
          <w:lang w:val="en-US" w:eastAsia="zh-CN"/>
        </w:rPr>
        <w:t>6</w:t>
      </w:r>
      <w:r>
        <w:rPr>
          <w:rFonts w:hint="eastAsia" w:ascii="宋体" w:hAnsi="宋体" w:eastAsia="宋体" w:cs="宋体"/>
          <w:b w:val="0"/>
          <w:bCs/>
          <w:color w:val="auto"/>
          <w:sz w:val="24"/>
          <w:szCs w:val="24"/>
          <w:highlight w:val="none"/>
        </w:rPr>
        <w:t>-3  项目可研论证费计费标准</w:t>
      </w:r>
    </w:p>
    <w:tbl>
      <w:tblPr>
        <w:tblStyle w:val="87"/>
        <w:tblW w:w="0" w:type="auto"/>
        <w:jc w:val="center"/>
        <w:tblLayout w:type="fixed"/>
        <w:tblCellMar>
          <w:top w:w="0" w:type="dxa"/>
          <w:left w:w="108" w:type="dxa"/>
          <w:bottom w:w="0" w:type="dxa"/>
          <w:right w:w="108" w:type="dxa"/>
        </w:tblCellMar>
      </w:tblPr>
      <w:tblGrid>
        <w:gridCol w:w="1336"/>
        <w:gridCol w:w="3644"/>
        <w:gridCol w:w="3256"/>
      </w:tblGrid>
      <w:tr>
        <w:tblPrEx>
          <w:tblCellMar>
            <w:top w:w="0" w:type="dxa"/>
            <w:left w:w="108" w:type="dxa"/>
            <w:bottom w:w="0" w:type="dxa"/>
            <w:right w:w="108" w:type="dxa"/>
          </w:tblCellMar>
        </w:tblPrEx>
        <w:trPr>
          <w:trHeight w:val="340" w:hRule="atLeast"/>
          <w:jc w:val="center"/>
        </w:trPr>
        <w:tc>
          <w:tcPr>
            <w:tcW w:w="133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序号</w:t>
            </w:r>
          </w:p>
        </w:tc>
        <w:tc>
          <w:tcPr>
            <w:tcW w:w="364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计费基数（万元）</w:t>
            </w:r>
          </w:p>
        </w:tc>
        <w:tc>
          <w:tcPr>
            <w:tcW w:w="325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项目可研论证费（万元）</w:t>
            </w:r>
          </w:p>
        </w:tc>
      </w:tr>
      <w:tr>
        <w:tblPrEx>
          <w:tblCellMar>
            <w:top w:w="0" w:type="dxa"/>
            <w:left w:w="108" w:type="dxa"/>
            <w:bottom w:w="0" w:type="dxa"/>
            <w:right w:w="108" w:type="dxa"/>
          </w:tblCellMar>
        </w:tblPrEx>
        <w:trPr>
          <w:trHeight w:val="340" w:hRule="atLeast"/>
          <w:jc w:val="center"/>
        </w:trPr>
        <w:tc>
          <w:tcPr>
            <w:tcW w:w="1336" w:type="dxa"/>
            <w:tcBorders>
              <w:top w:val="nil"/>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3644"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≤180</w:t>
            </w:r>
          </w:p>
        </w:tc>
        <w:tc>
          <w:tcPr>
            <w:tcW w:w="3256" w:type="dxa"/>
            <w:tcBorders>
              <w:top w:val="nil"/>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r>
      <w:tr>
        <w:tblPrEx>
          <w:tblCellMar>
            <w:top w:w="0" w:type="dxa"/>
            <w:left w:w="108" w:type="dxa"/>
            <w:bottom w:w="0" w:type="dxa"/>
            <w:right w:w="108" w:type="dxa"/>
          </w:tblCellMar>
        </w:tblPrEx>
        <w:trPr>
          <w:trHeight w:val="340" w:hRule="atLeast"/>
          <w:jc w:val="center"/>
        </w:trPr>
        <w:tc>
          <w:tcPr>
            <w:tcW w:w="133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3644" w:type="dxa"/>
            <w:tcBorders>
              <w:top w:val="single" w:color="auto" w:sz="4" w:space="0"/>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500</w:t>
            </w:r>
          </w:p>
        </w:tc>
        <w:tc>
          <w:tcPr>
            <w:tcW w:w="3256" w:type="dxa"/>
            <w:tcBorders>
              <w:top w:val="single" w:color="auto" w:sz="4" w:space="0"/>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4</w:t>
            </w:r>
          </w:p>
        </w:tc>
      </w:tr>
      <w:tr>
        <w:tblPrEx>
          <w:tblCellMar>
            <w:top w:w="0" w:type="dxa"/>
            <w:left w:w="108" w:type="dxa"/>
            <w:bottom w:w="0" w:type="dxa"/>
            <w:right w:w="108" w:type="dxa"/>
          </w:tblCellMar>
        </w:tblPrEx>
        <w:trPr>
          <w:trHeight w:val="340" w:hRule="atLeast"/>
          <w:jc w:val="center"/>
        </w:trPr>
        <w:tc>
          <w:tcPr>
            <w:tcW w:w="133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w:t>
            </w:r>
          </w:p>
        </w:tc>
        <w:tc>
          <w:tcPr>
            <w:tcW w:w="3644" w:type="dxa"/>
            <w:tcBorders>
              <w:top w:val="single" w:color="auto" w:sz="4" w:space="0"/>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1000</w:t>
            </w:r>
          </w:p>
        </w:tc>
        <w:tc>
          <w:tcPr>
            <w:tcW w:w="3256" w:type="dxa"/>
            <w:tcBorders>
              <w:top w:val="single" w:color="auto" w:sz="4" w:space="0"/>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6</w:t>
            </w:r>
          </w:p>
        </w:tc>
      </w:tr>
      <w:tr>
        <w:tblPrEx>
          <w:tblCellMar>
            <w:top w:w="0" w:type="dxa"/>
            <w:left w:w="108" w:type="dxa"/>
            <w:bottom w:w="0" w:type="dxa"/>
            <w:right w:w="108" w:type="dxa"/>
          </w:tblCellMar>
        </w:tblPrEx>
        <w:trPr>
          <w:trHeight w:val="340" w:hRule="atLeast"/>
          <w:jc w:val="center"/>
        </w:trPr>
        <w:tc>
          <w:tcPr>
            <w:tcW w:w="133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4</w:t>
            </w:r>
          </w:p>
        </w:tc>
        <w:tc>
          <w:tcPr>
            <w:tcW w:w="3644" w:type="dxa"/>
            <w:tcBorders>
              <w:top w:val="single" w:color="auto" w:sz="4" w:space="0"/>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3000</w:t>
            </w:r>
          </w:p>
        </w:tc>
        <w:tc>
          <w:tcPr>
            <w:tcW w:w="3256" w:type="dxa"/>
            <w:tcBorders>
              <w:top w:val="single" w:color="auto" w:sz="4" w:space="0"/>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12</w:t>
            </w:r>
          </w:p>
        </w:tc>
      </w:tr>
      <w:tr>
        <w:tblPrEx>
          <w:tblCellMar>
            <w:top w:w="0" w:type="dxa"/>
            <w:left w:w="108" w:type="dxa"/>
            <w:bottom w:w="0" w:type="dxa"/>
            <w:right w:w="108" w:type="dxa"/>
          </w:tblCellMar>
        </w:tblPrEx>
        <w:trPr>
          <w:trHeight w:val="340" w:hRule="atLeast"/>
          <w:jc w:val="center"/>
        </w:trPr>
        <w:tc>
          <w:tcPr>
            <w:tcW w:w="133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w:t>
            </w:r>
          </w:p>
        </w:tc>
        <w:tc>
          <w:tcPr>
            <w:tcW w:w="3644" w:type="dxa"/>
            <w:tcBorders>
              <w:top w:val="single" w:color="auto" w:sz="4" w:space="0"/>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5000</w:t>
            </w:r>
          </w:p>
        </w:tc>
        <w:tc>
          <w:tcPr>
            <w:tcW w:w="3256" w:type="dxa"/>
            <w:tcBorders>
              <w:top w:val="single" w:color="auto" w:sz="4" w:space="0"/>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15</w:t>
            </w:r>
          </w:p>
        </w:tc>
      </w:tr>
      <w:tr>
        <w:tblPrEx>
          <w:tblCellMar>
            <w:top w:w="0" w:type="dxa"/>
            <w:left w:w="108" w:type="dxa"/>
            <w:bottom w:w="0" w:type="dxa"/>
            <w:right w:w="108" w:type="dxa"/>
          </w:tblCellMar>
        </w:tblPrEx>
        <w:trPr>
          <w:trHeight w:val="340" w:hRule="atLeast"/>
          <w:jc w:val="center"/>
        </w:trPr>
        <w:tc>
          <w:tcPr>
            <w:tcW w:w="133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6</w:t>
            </w:r>
          </w:p>
        </w:tc>
        <w:tc>
          <w:tcPr>
            <w:tcW w:w="3644" w:type="dxa"/>
            <w:tcBorders>
              <w:top w:val="single" w:color="auto" w:sz="4" w:space="0"/>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10000</w:t>
            </w:r>
          </w:p>
        </w:tc>
        <w:tc>
          <w:tcPr>
            <w:tcW w:w="3256" w:type="dxa"/>
            <w:tcBorders>
              <w:top w:val="single" w:color="auto" w:sz="4" w:space="0"/>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25</w:t>
            </w:r>
          </w:p>
        </w:tc>
      </w:tr>
    </w:tbl>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注：计费基数大于1亿元时，按计费基数的0.25%计取。</w:t>
      </w:r>
    </w:p>
    <w:p>
      <w:pPr>
        <w:wordWrap/>
        <w:spacing w:before="120"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项目勘测与设计费以工程施工费作为计费基数，采用分档定额计费方式计算，各区间按内插法确定。其中勘测费可按不超过工程施工费的1.5%单独计算，剩余部分可计为项目设计与预算编制费。</w:t>
      </w:r>
    </w:p>
    <w:p>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表</w:t>
      </w:r>
      <w:r>
        <w:rPr>
          <w:rFonts w:hint="eastAsia" w:ascii="宋体" w:hAnsi="宋体" w:eastAsia="宋体" w:cs="宋体"/>
          <w:b w:val="0"/>
          <w:bCs/>
          <w:color w:val="auto"/>
          <w:sz w:val="24"/>
          <w:szCs w:val="24"/>
          <w:highlight w:val="none"/>
          <w:lang w:val="en-US" w:eastAsia="zh-CN"/>
        </w:rPr>
        <w:t>6-4</w:t>
      </w:r>
      <w:r>
        <w:rPr>
          <w:rFonts w:hint="eastAsia" w:ascii="宋体" w:hAnsi="宋体" w:eastAsia="宋体" w:cs="宋体"/>
          <w:b w:val="0"/>
          <w:bCs/>
          <w:color w:val="auto"/>
          <w:sz w:val="24"/>
          <w:szCs w:val="24"/>
          <w:highlight w:val="none"/>
        </w:rPr>
        <w:t xml:space="preserve">  项目勘测与设计计费标准</w:t>
      </w:r>
    </w:p>
    <w:tbl>
      <w:tblPr>
        <w:tblStyle w:val="87"/>
        <w:tblW w:w="8306" w:type="dxa"/>
        <w:jc w:val="center"/>
        <w:tblLayout w:type="fixed"/>
        <w:tblCellMar>
          <w:top w:w="0" w:type="dxa"/>
          <w:left w:w="108" w:type="dxa"/>
          <w:bottom w:w="0" w:type="dxa"/>
          <w:right w:w="108" w:type="dxa"/>
        </w:tblCellMar>
      </w:tblPr>
      <w:tblGrid>
        <w:gridCol w:w="1300"/>
        <w:gridCol w:w="3719"/>
        <w:gridCol w:w="3287"/>
      </w:tblGrid>
      <w:tr>
        <w:tblPrEx>
          <w:tblCellMar>
            <w:top w:w="0" w:type="dxa"/>
            <w:left w:w="108" w:type="dxa"/>
            <w:bottom w:w="0" w:type="dxa"/>
            <w:right w:w="108" w:type="dxa"/>
          </w:tblCellMar>
        </w:tblPrEx>
        <w:trPr>
          <w:trHeight w:val="340" w:hRule="atLeast"/>
          <w:jc w:val="center"/>
        </w:trPr>
        <w:tc>
          <w:tcPr>
            <w:tcW w:w="130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序号</w:t>
            </w:r>
          </w:p>
        </w:tc>
        <w:tc>
          <w:tcPr>
            <w:tcW w:w="371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计费基数（万元）</w:t>
            </w:r>
          </w:p>
        </w:tc>
        <w:tc>
          <w:tcPr>
            <w:tcW w:w="328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项目勘测与设计计费（万元）</w:t>
            </w:r>
          </w:p>
        </w:tc>
      </w:tr>
      <w:tr>
        <w:tblPrEx>
          <w:tblCellMar>
            <w:top w:w="0" w:type="dxa"/>
            <w:left w:w="108" w:type="dxa"/>
            <w:bottom w:w="0" w:type="dxa"/>
            <w:right w:w="108" w:type="dxa"/>
          </w:tblCellMar>
        </w:tblPrEx>
        <w:trPr>
          <w:trHeight w:val="340" w:hRule="atLeast"/>
          <w:jc w:val="center"/>
        </w:trPr>
        <w:tc>
          <w:tcPr>
            <w:tcW w:w="1300" w:type="dxa"/>
            <w:tcBorders>
              <w:top w:val="nil"/>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3719"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≤180</w:t>
            </w:r>
          </w:p>
        </w:tc>
        <w:tc>
          <w:tcPr>
            <w:tcW w:w="3287"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7.5</w:t>
            </w:r>
          </w:p>
        </w:tc>
      </w:tr>
      <w:tr>
        <w:tblPrEx>
          <w:tblCellMar>
            <w:top w:w="0" w:type="dxa"/>
            <w:left w:w="108" w:type="dxa"/>
            <w:bottom w:w="0" w:type="dxa"/>
            <w:right w:w="108" w:type="dxa"/>
          </w:tblCellMar>
        </w:tblPrEx>
        <w:trPr>
          <w:trHeight w:val="340" w:hRule="atLeast"/>
          <w:jc w:val="center"/>
        </w:trPr>
        <w:tc>
          <w:tcPr>
            <w:tcW w:w="130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3719"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500</w:t>
            </w:r>
          </w:p>
        </w:tc>
        <w:tc>
          <w:tcPr>
            <w:tcW w:w="3287"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20</w:t>
            </w:r>
          </w:p>
        </w:tc>
      </w:tr>
      <w:tr>
        <w:tblPrEx>
          <w:tblCellMar>
            <w:top w:w="0" w:type="dxa"/>
            <w:left w:w="108" w:type="dxa"/>
            <w:bottom w:w="0" w:type="dxa"/>
            <w:right w:w="108" w:type="dxa"/>
          </w:tblCellMar>
        </w:tblPrEx>
        <w:trPr>
          <w:trHeight w:val="340" w:hRule="atLeast"/>
          <w:jc w:val="center"/>
        </w:trPr>
        <w:tc>
          <w:tcPr>
            <w:tcW w:w="130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w:t>
            </w:r>
          </w:p>
        </w:tc>
        <w:tc>
          <w:tcPr>
            <w:tcW w:w="3719"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1000</w:t>
            </w:r>
          </w:p>
        </w:tc>
        <w:tc>
          <w:tcPr>
            <w:tcW w:w="3287"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39</w:t>
            </w:r>
          </w:p>
        </w:tc>
      </w:tr>
      <w:tr>
        <w:tblPrEx>
          <w:tblCellMar>
            <w:top w:w="0" w:type="dxa"/>
            <w:left w:w="108" w:type="dxa"/>
            <w:bottom w:w="0" w:type="dxa"/>
            <w:right w:w="108" w:type="dxa"/>
          </w:tblCellMar>
        </w:tblPrEx>
        <w:trPr>
          <w:trHeight w:val="340" w:hRule="atLeast"/>
          <w:jc w:val="center"/>
        </w:trPr>
        <w:tc>
          <w:tcPr>
            <w:tcW w:w="130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4</w:t>
            </w:r>
          </w:p>
        </w:tc>
        <w:tc>
          <w:tcPr>
            <w:tcW w:w="3719"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3000</w:t>
            </w:r>
          </w:p>
        </w:tc>
        <w:tc>
          <w:tcPr>
            <w:tcW w:w="3287"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93</w:t>
            </w:r>
          </w:p>
        </w:tc>
      </w:tr>
      <w:tr>
        <w:tblPrEx>
          <w:tblCellMar>
            <w:top w:w="0" w:type="dxa"/>
            <w:left w:w="108" w:type="dxa"/>
            <w:bottom w:w="0" w:type="dxa"/>
            <w:right w:w="108" w:type="dxa"/>
          </w:tblCellMar>
        </w:tblPrEx>
        <w:trPr>
          <w:trHeight w:val="340" w:hRule="atLeast"/>
          <w:jc w:val="center"/>
        </w:trPr>
        <w:tc>
          <w:tcPr>
            <w:tcW w:w="130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w:t>
            </w:r>
          </w:p>
        </w:tc>
        <w:tc>
          <w:tcPr>
            <w:tcW w:w="3719"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5000</w:t>
            </w:r>
          </w:p>
        </w:tc>
        <w:tc>
          <w:tcPr>
            <w:tcW w:w="3287"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145</w:t>
            </w:r>
          </w:p>
        </w:tc>
      </w:tr>
      <w:tr>
        <w:tblPrEx>
          <w:tblCellMar>
            <w:top w:w="0" w:type="dxa"/>
            <w:left w:w="108" w:type="dxa"/>
            <w:bottom w:w="0" w:type="dxa"/>
            <w:right w:w="108" w:type="dxa"/>
          </w:tblCellMar>
        </w:tblPrEx>
        <w:trPr>
          <w:trHeight w:val="340" w:hRule="atLeast"/>
          <w:jc w:val="center"/>
        </w:trPr>
        <w:tc>
          <w:tcPr>
            <w:tcW w:w="130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6</w:t>
            </w:r>
          </w:p>
        </w:tc>
        <w:tc>
          <w:tcPr>
            <w:tcW w:w="3719"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10000</w:t>
            </w:r>
          </w:p>
        </w:tc>
        <w:tc>
          <w:tcPr>
            <w:tcW w:w="3287"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270</w:t>
            </w:r>
          </w:p>
        </w:tc>
      </w:tr>
    </w:tbl>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b w:val="0"/>
          <w:bCs w:val="0"/>
          <w:color w:val="auto"/>
          <w:sz w:val="21"/>
          <w:szCs w:val="21"/>
          <w:highlight w:val="none"/>
        </w:rPr>
        <w:t>注：计费基数大于1亿元时，按计费基数的2.70%计取。</w:t>
      </w:r>
    </w:p>
    <w:p>
      <w:pPr>
        <w:wordWrap/>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项目招标代理费以工程施工费作为计费基数，采用差额定率累进法计算。</w:t>
      </w:r>
    </w:p>
    <w:p>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表</w:t>
      </w:r>
      <w:r>
        <w:rPr>
          <w:rFonts w:hint="eastAsia" w:ascii="宋体" w:hAnsi="宋体" w:eastAsia="宋体" w:cs="宋体"/>
          <w:b w:val="0"/>
          <w:bCs/>
          <w:color w:val="auto"/>
          <w:sz w:val="24"/>
          <w:szCs w:val="24"/>
          <w:highlight w:val="none"/>
          <w:lang w:val="en-US" w:eastAsia="zh-CN"/>
        </w:rPr>
        <w:t>6-5</w:t>
      </w:r>
      <w:r>
        <w:rPr>
          <w:rFonts w:hint="eastAsia" w:ascii="宋体" w:hAnsi="宋体" w:eastAsia="宋体" w:cs="宋体"/>
          <w:b w:val="0"/>
          <w:bCs/>
          <w:color w:val="auto"/>
          <w:sz w:val="24"/>
          <w:szCs w:val="24"/>
          <w:highlight w:val="none"/>
        </w:rPr>
        <w:t xml:space="preserve">  项目招标代理费计费标准</w:t>
      </w:r>
    </w:p>
    <w:tbl>
      <w:tblPr>
        <w:tblStyle w:val="87"/>
        <w:tblW w:w="8318" w:type="dxa"/>
        <w:jc w:val="center"/>
        <w:tblLayout w:type="fixed"/>
        <w:tblCellMar>
          <w:top w:w="0" w:type="dxa"/>
          <w:left w:w="108" w:type="dxa"/>
          <w:bottom w:w="0" w:type="dxa"/>
          <w:right w:w="108" w:type="dxa"/>
        </w:tblCellMar>
      </w:tblPr>
      <w:tblGrid>
        <w:gridCol w:w="675"/>
        <w:gridCol w:w="1512"/>
        <w:gridCol w:w="990"/>
        <w:gridCol w:w="1785"/>
        <w:gridCol w:w="3356"/>
      </w:tblGrid>
      <w:tr>
        <w:tblPrEx>
          <w:tblCellMar>
            <w:top w:w="0" w:type="dxa"/>
            <w:left w:w="108" w:type="dxa"/>
            <w:bottom w:w="0" w:type="dxa"/>
            <w:right w:w="108" w:type="dxa"/>
          </w:tblCellMar>
        </w:tblPrEx>
        <w:trPr>
          <w:trHeight w:val="340" w:hRule="atLeast"/>
          <w:jc w:val="center"/>
        </w:trPr>
        <w:tc>
          <w:tcPr>
            <w:tcW w:w="675" w:type="dxa"/>
            <w:vMerge w:val="restart"/>
            <w:tcBorders>
              <w:top w:val="single" w:color="auto" w:sz="4" w:space="0"/>
              <w:left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序号</w:t>
            </w:r>
          </w:p>
        </w:tc>
        <w:tc>
          <w:tcPr>
            <w:tcW w:w="1512" w:type="dxa"/>
            <w:vMerge w:val="restart"/>
            <w:tcBorders>
              <w:top w:val="single" w:color="auto" w:sz="4" w:space="0"/>
              <w:left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计费基础</w:t>
            </w:r>
          </w:p>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（万元）</w:t>
            </w:r>
          </w:p>
        </w:tc>
        <w:tc>
          <w:tcPr>
            <w:tcW w:w="990" w:type="dxa"/>
            <w:vMerge w:val="restart"/>
            <w:tcBorders>
              <w:top w:val="single" w:color="auto" w:sz="4" w:space="0"/>
              <w:left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费率</w:t>
            </w:r>
          </w:p>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w:t>
            </w:r>
          </w:p>
        </w:tc>
        <w:tc>
          <w:tcPr>
            <w:tcW w:w="514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算例</w:t>
            </w:r>
          </w:p>
        </w:tc>
      </w:tr>
      <w:tr>
        <w:tblPrEx>
          <w:tblCellMar>
            <w:top w:w="0" w:type="dxa"/>
            <w:left w:w="108" w:type="dxa"/>
            <w:bottom w:w="0" w:type="dxa"/>
            <w:right w:w="108" w:type="dxa"/>
          </w:tblCellMar>
        </w:tblPrEx>
        <w:trPr>
          <w:trHeight w:val="340" w:hRule="atLeast"/>
          <w:jc w:val="center"/>
        </w:trPr>
        <w:tc>
          <w:tcPr>
            <w:tcW w:w="675" w:type="dxa"/>
            <w:vMerge w:val="continue"/>
            <w:tcBorders>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p>
        </w:tc>
        <w:tc>
          <w:tcPr>
            <w:tcW w:w="1512" w:type="dxa"/>
            <w:vMerge w:val="continue"/>
            <w:tcBorders>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p>
        </w:tc>
        <w:tc>
          <w:tcPr>
            <w:tcW w:w="990" w:type="dxa"/>
            <w:vMerge w:val="continue"/>
            <w:tcBorders>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p>
        </w:tc>
        <w:tc>
          <w:tcPr>
            <w:tcW w:w="178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计费基础（万元）</w:t>
            </w:r>
          </w:p>
        </w:tc>
        <w:tc>
          <w:tcPr>
            <w:tcW w:w="335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项目招标代理费（万元）</w:t>
            </w:r>
          </w:p>
        </w:tc>
      </w:tr>
      <w:tr>
        <w:tblPrEx>
          <w:tblCellMar>
            <w:top w:w="0" w:type="dxa"/>
            <w:left w:w="108" w:type="dxa"/>
            <w:bottom w:w="0" w:type="dxa"/>
            <w:right w:w="108" w:type="dxa"/>
          </w:tblCellMar>
        </w:tblPrEx>
        <w:trPr>
          <w:trHeight w:val="340" w:hRule="atLeast"/>
          <w:jc w:val="center"/>
        </w:trPr>
        <w:tc>
          <w:tcPr>
            <w:tcW w:w="675" w:type="dxa"/>
            <w:tcBorders>
              <w:top w:val="nil"/>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1512"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≤500</w:t>
            </w:r>
          </w:p>
        </w:tc>
        <w:tc>
          <w:tcPr>
            <w:tcW w:w="990"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0.5</w:t>
            </w:r>
          </w:p>
        </w:tc>
        <w:tc>
          <w:tcPr>
            <w:tcW w:w="1785"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500</w:t>
            </w:r>
          </w:p>
        </w:tc>
        <w:tc>
          <w:tcPr>
            <w:tcW w:w="3356"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500×0.5%=2.5</w:t>
            </w:r>
          </w:p>
        </w:tc>
      </w:tr>
      <w:tr>
        <w:tblPrEx>
          <w:tblCellMar>
            <w:top w:w="0" w:type="dxa"/>
            <w:left w:w="108" w:type="dxa"/>
            <w:bottom w:w="0" w:type="dxa"/>
            <w:right w:w="108" w:type="dxa"/>
          </w:tblCellMar>
        </w:tblPrEx>
        <w:trPr>
          <w:trHeight w:val="340" w:hRule="atLeast"/>
          <w:jc w:val="center"/>
        </w:trPr>
        <w:tc>
          <w:tcPr>
            <w:tcW w:w="675" w:type="dxa"/>
            <w:tcBorders>
              <w:top w:val="nil"/>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1512"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500-1000</w:t>
            </w:r>
          </w:p>
        </w:tc>
        <w:tc>
          <w:tcPr>
            <w:tcW w:w="990"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0.4</w:t>
            </w:r>
          </w:p>
        </w:tc>
        <w:tc>
          <w:tcPr>
            <w:tcW w:w="1785"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1000</w:t>
            </w:r>
          </w:p>
        </w:tc>
        <w:tc>
          <w:tcPr>
            <w:tcW w:w="3356"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2.5+（1000-500）×0.4%=4.5</w:t>
            </w:r>
          </w:p>
        </w:tc>
      </w:tr>
      <w:tr>
        <w:tblPrEx>
          <w:tblCellMar>
            <w:top w:w="0" w:type="dxa"/>
            <w:left w:w="108" w:type="dxa"/>
            <w:bottom w:w="0" w:type="dxa"/>
            <w:right w:w="108" w:type="dxa"/>
          </w:tblCellMar>
        </w:tblPrEx>
        <w:trPr>
          <w:trHeight w:val="34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w:t>
            </w:r>
          </w:p>
        </w:tc>
        <w:tc>
          <w:tcPr>
            <w:tcW w:w="1512"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1000-3000</w:t>
            </w:r>
          </w:p>
        </w:tc>
        <w:tc>
          <w:tcPr>
            <w:tcW w:w="990"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0.3</w:t>
            </w:r>
          </w:p>
        </w:tc>
        <w:tc>
          <w:tcPr>
            <w:tcW w:w="1785"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3000</w:t>
            </w:r>
          </w:p>
        </w:tc>
        <w:tc>
          <w:tcPr>
            <w:tcW w:w="3356"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4.5+（3000-1000）×0.3%=10.5</w:t>
            </w:r>
          </w:p>
        </w:tc>
      </w:tr>
      <w:tr>
        <w:tblPrEx>
          <w:tblCellMar>
            <w:top w:w="0" w:type="dxa"/>
            <w:left w:w="108" w:type="dxa"/>
            <w:bottom w:w="0" w:type="dxa"/>
            <w:right w:w="108" w:type="dxa"/>
          </w:tblCellMar>
        </w:tblPrEx>
        <w:trPr>
          <w:trHeight w:val="34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4</w:t>
            </w:r>
          </w:p>
        </w:tc>
        <w:tc>
          <w:tcPr>
            <w:tcW w:w="1512"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3000-5000</w:t>
            </w:r>
          </w:p>
        </w:tc>
        <w:tc>
          <w:tcPr>
            <w:tcW w:w="990"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0.2</w:t>
            </w:r>
          </w:p>
        </w:tc>
        <w:tc>
          <w:tcPr>
            <w:tcW w:w="1785"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5000</w:t>
            </w:r>
          </w:p>
        </w:tc>
        <w:tc>
          <w:tcPr>
            <w:tcW w:w="3356"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10.5+（5000-3000）×0.2%=13.5</w:t>
            </w:r>
          </w:p>
        </w:tc>
      </w:tr>
      <w:tr>
        <w:tblPrEx>
          <w:tblCellMar>
            <w:top w:w="0" w:type="dxa"/>
            <w:left w:w="108" w:type="dxa"/>
            <w:bottom w:w="0" w:type="dxa"/>
            <w:right w:w="108" w:type="dxa"/>
          </w:tblCellMar>
        </w:tblPrEx>
        <w:trPr>
          <w:trHeight w:val="34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w:t>
            </w:r>
          </w:p>
        </w:tc>
        <w:tc>
          <w:tcPr>
            <w:tcW w:w="1512"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5000-10000</w:t>
            </w:r>
          </w:p>
        </w:tc>
        <w:tc>
          <w:tcPr>
            <w:tcW w:w="990"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0.1</w:t>
            </w:r>
          </w:p>
        </w:tc>
        <w:tc>
          <w:tcPr>
            <w:tcW w:w="1785"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10000</w:t>
            </w:r>
          </w:p>
        </w:tc>
        <w:tc>
          <w:tcPr>
            <w:tcW w:w="3356"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13.5+（10000-5000）×0.1%=18.5</w:t>
            </w:r>
          </w:p>
        </w:tc>
      </w:tr>
      <w:tr>
        <w:tblPrEx>
          <w:tblCellMar>
            <w:top w:w="0" w:type="dxa"/>
            <w:left w:w="108" w:type="dxa"/>
            <w:bottom w:w="0" w:type="dxa"/>
            <w:right w:w="108" w:type="dxa"/>
          </w:tblCellMar>
        </w:tblPrEx>
        <w:trPr>
          <w:trHeight w:val="34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6</w:t>
            </w:r>
          </w:p>
        </w:tc>
        <w:tc>
          <w:tcPr>
            <w:tcW w:w="1512"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10000以上</w:t>
            </w:r>
          </w:p>
        </w:tc>
        <w:tc>
          <w:tcPr>
            <w:tcW w:w="990"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0.05</w:t>
            </w:r>
          </w:p>
        </w:tc>
        <w:tc>
          <w:tcPr>
            <w:tcW w:w="1785"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15000</w:t>
            </w:r>
          </w:p>
        </w:tc>
        <w:tc>
          <w:tcPr>
            <w:tcW w:w="3356"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18.5+（15000-10000）×0.05%=21</w:t>
            </w:r>
          </w:p>
        </w:tc>
      </w:tr>
    </w:tbl>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1"/>
          <w:szCs w:val="21"/>
          <w:highlight w:val="none"/>
        </w:rPr>
        <w:t>注：计费基数小于100万元时，按计费基数的1.0%计取。</w:t>
      </w:r>
    </w:p>
    <w:p>
      <w:pPr>
        <w:wordWrap/>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b</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工程监理费</w:t>
      </w:r>
    </w:p>
    <w:p>
      <w:pPr>
        <w:wordWrap/>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以工程施工费作为计费基数，采用分档定额计算方式计算，各区间按内插法确定。</w:t>
      </w:r>
    </w:p>
    <w:p>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表</w:t>
      </w:r>
      <w:r>
        <w:rPr>
          <w:rFonts w:hint="eastAsia" w:ascii="宋体" w:hAnsi="宋体" w:eastAsia="宋体" w:cs="宋体"/>
          <w:b w:val="0"/>
          <w:bCs/>
          <w:color w:val="auto"/>
          <w:sz w:val="24"/>
          <w:szCs w:val="24"/>
          <w:highlight w:val="none"/>
          <w:lang w:val="en-US" w:eastAsia="zh-CN"/>
        </w:rPr>
        <w:t>6-6</w:t>
      </w:r>
      <w:r>
        <w:rPr>
          <w:rFonts w:hint="eastAsia" w:ascii="宋体" w:hAnsi="宋体" w:eastAsia="宋体" w:cs="宋体"/>
          <w:b w:val="0"/>
          <w:bCs/>
          <w:color w:val="auto"/>
          <w:sz w:val="24"/>
          <w:szCs w:val="24"/>
          <w:highlight w:val="none"/>
        </w:rPr>
        <w:t xml:space="preserve"> 工程监理费计费标准</w:t>
      </w:r>
    </w:p>
    <w:tbl>
      <w:tblPr>
        <w:tblStyle w:val="87"/>
        <w:tblW w:w="8385" w:type="dxa"/>
        <w:jc w:val="center"/>
        <w:tblLayout w:type="fixed"/>
        <w:tblCellMar>
          <w:top w:w="0" w:type="dxa"/>
          <w:left w:w="108" w:type="dxa"/>
          <w:bottom w:w="0" w:type="dxa"/>
          <w:right w:w="108" w:type="dxa"/>
        </w:tblCellMar>
      </w:tblPr>
      <w:tblGrid>
        <w:gridCol w:w="1215"/>
        <w:gridCol w:w="4522"/>
        <w:gridCol w:w="2648"/>
      </w:tblGrid>
      <w:tr>
        <w:tblPrEx>
          <w:tblCellMar>
            <w:top w:w="0" w:type="dxa"/>
            <w:left w:w="108" w:type="dxa"/>
            <w:bottom w:w="0" w:type="dxa"/>
            <w:right w:w="108" w:type="dxa"/>
          </w:tblCellMar>
        </w:tblPrEx>
        <w:trPr>
          <w:trHeight w:val="340"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序号</w:t>
            </w:r>
          </w:p>
        </w:tc>
        <w:tc>
          <w:tcPr>
            <w:tcW w:w="45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计费基数（万元）</w:t>
            </w:r>
          </w:p>
        </w:tc>
        <w:tc>
          <w:tcPr>
            <w:tcW w:w="264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工程监理费（万元）</w:t>
            </w:r>
          </w:p>
        </w:tc>
      </w:tr>
      <w:tr>
        <w:tblPrEx>
          <w:tblCellMar>
            <w:top w:w="0" w:type="dxa"/>
            <w:left w:w="108" w:type="dxa"/>
            <w:bottom w:w="0" w:type="dxa"/>
            <w:right w:w="108" w:type="dxa"/>
          </w:tblCellMar>
        </w:tblPrEx>
        <w:trPr>
          <w:trHeight w:val="340" w:hRule="atLeast"/>
          <w:jc w:val="center"/>
        </w:trPr>
        <w:tc>
          <w:tcPr>
            <w:tcW w:w="1215" w:type="dxa"/>
            <w:tcBorders>
              <w:top w:val="nil"/>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4522"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≤180</w:t>
            </w:r>
          </w:p>
        </w:tc>
        <w:tc>
          <w:tcPr>
            <w:tcW w:w="2648"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4</w:t>
            </w:r>
          </w:p>
        </w:tc>
      </w:tr>
      <w:tr>
        <w:tblPrEx>
          <w:tblCellMar>
            <w:top w:w="0" w:type="dxa"/>
            <w:left w:w="108" w:type="dxa"/>
            <w:bottom w:w="0" w:type="dxa"/>
            <w:right w:w="108" w:type="dxa"/>
          </w:tblCellMar>
        </w:tblPrEx>
        <w:trPr>
          <w:trHeight w:val="340"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4522"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500</w:t>
            </w:r>
          </w:p>
        </w:tc>
        <w:tc>
          <w:tcPr>
            <w:tcW w:w="2648"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w:t>
            </w:r>
          </w:p>
        </w:tc>
      </w:tr>
      <w:tr>
        <w:tblPrEx>
          <w:tblCellMar>
            <w:top w:w="0" w:type="dxa"/>
            <w:left w:w="108" w:type="dxa"/>
            <w:bottom w:w="0" w:type="dxa"/>
            <w:right w:w="108" w:type="dxa"/>
          </w:tblCellMar>
        </w:tblPrEx>
        <w:trPr>
          <w:trHeight w:val="340"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w:t>
            </w:r>
          </w:p>
        </w:tc>
        <w:tc>
          <w:tcPr>
            <w:tcW w:w="4522"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1000</w:t>
            </w:r>
          </w:p>
        </w:tc>
        <w:tc>
          <w:tcPr>
            <w:tcW w:w="2648"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18</w:t>
            </w:r>
          </w:p>
        </w:tc>
      </w:tr>
      <w:tr>
        <w:tblPrEx>
          <w:tblCellMar>
            <w:top w:w="0" w:type="dxa"/>
            <w:left w:w="108" w:type="dxa"/>
            <w:bottom w:w="0" w:type="dxa"/>
            <w:right w:w="108" w:type="dxa"/>
          </w:tblCellMar>
        </w:tblPrEx>
        <w:trPr>
          <w:trHeight w:val="340"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4</w:t>
            </w:r>
          </w:p>
        </w:tc>
        <w:tc>
          <w:tcPr>
            <w:tcW w:w="4522"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3000</w:t>
            </w:r>
          </w:p>
        </w:tc>
        <w:tc>
          <w:tcPr>
            <w:tcW w:w="2648"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45</w:t>
            </w:r>
          </w:p>
        </w:tc>
      </w:tr>
      <w:tr>
        <w:tblPrEx>
          <w:tblCellMar>
            <w:top w:w="0" w:type="dxa"/>
            <w:left w:w="108" w:type="dxa"/>
            <w:bottom w:w="0" w:type="dxa"/>
            <w:right w:w="108" w:type="dxa"/>
          </w:tblCellMar>
        </w:tblPrEx>
        <w:trPr>
          <w:trHeight w:val="340"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w:t>
            </w:r>
          </w:p>
        </w:tc>
        <w:tc>
          <w:tcPr>
            <w:tcW w:w="4522"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5000</w:t>
            </w:r>
          </w:p>
        </w:tc>
        <w:tc>
          <w:tcPr>
            <w:tcW w:w="2648"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70</w:t>
            </w:r>
          </w:p>
        </w:tc>
      </w:tr>
      <w:tr>
        <w:tblPrEx>
          <w:tblCellMar>
            <w:top w:w="0" w:type="dxa"/>
            <w:left w:w="108" w:type="dxa"/>
            <w:bottom w:w="0" w:type="dxa"/>
            <w:right w:w="108" w:type="dxa"/>
          </w:tblCellMar>
        </w:tblPrEx>
        <w:trPr>
          <w:trHeight w:val="340"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6</w:t>
            </w:r>
          </w:p>
        </w:tc>
        <w:tc>
          <w:tcPr>
            <w:tcW w:w="4522"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10000</w:t>
            </w:r>
          </w:p>
        </w:tc>
        <w:tc>
          <w:tcPr>
            <w:tcW w:w="2648"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120</w:t>
            </w:r>
          </w:p>
        </w:tc>
      </w:tr>
    </w:tbl>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注：计费基数大于1亿元时，按计费基数的1.20%计取。</w:t>
      </w:r>
    </w:p>
    <w:p>
      <w:pPr>
        <w:wordWrap/>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c</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竣工验收费</w:t>
      </w:r>
    </w:p>
    <w:p>
      <w:pPr>
        <w:wordWrap/>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竣工验收费包括工程验收费、项目决算编制与审计费，工程验收费以工程施工费作为计费基数，采用差额定率累进法计算。</w:t>
      </w:r>
    </w:p>
    <w:p>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表</w:t>
      </w:r>
      <w:r>
        <w:rPr>
          <w:rFonts w:hint="eastAsia" w:ascii="宋体" w:hAnsi="宋体" w:eastAsia="宋体" w:cs="宋体"/>
          <w:b w:val="0"/>
          <w:bCs/>
          <w:color w:val="auto"/>
          <w:sz w:val="24"/>
          <w:szCs w:val="24"/>
          <w:highlight w:val="none"/>
          <w:lang w:val="en-US" w:eastAsia="zh-CN"/>
        </w:rPr>
        <w:t>6-7</w:t>
      </w:r>
      <w:r>
        <w:rPr>
          <w:rFonts w:hint="eastAsia" w:ascii="宋体" w:hAnsi="宋体" w:eastAsia="宋体" w:cs="宋体"/>
          <w:b w:val="0"/>
          <w:bCs/>
          <w:color w:val="auto"/>
          <w:sz w:val="24"/>
          <w:szCs w:val="24"/>
          <w:highlight w:val="none"/>
        </w:rPr>
        <w:t xml:space="preserve"> 工程验收费计费标准</w:t>
      </w:r>
    </w:p>
    <w:tbl>
      <w:tblPr>
        <w:tblStyle w:val="87"/>
        <w:tblW w:w="8409" w:type="dxa"/>
        <w:jc w:val="center"/>
        <w:tblLayout w:type="fixed"/>
        <w:tblCellMar>
          <w:top w:w="0" w:type="dxa"/>
          <w:left w:w="108" w:type="dxa"/>
          <w:bottom w:w="0" w:type="dxa"/>
          <w:right w:w="108" w:type="dxa"/>
        </w:tblCellMar>
      </w:tblPr>
      <w:tblGrid>
        <w:gridCol w:w="618"/>
        <w:gridCol w:w="1573"/>
        <w:gridCol w:w="1272"/>
        <w:gridCol w:w="1713"/>
        <w:gridCol w:w="3233"/>
      </w:tblGrid>
      <w:tr>
        <w:tblPrEx>
          <w:tblCellMar>
            <w:top w:w="0" w:type="dxa"/>
            <w:left w:w="108" w:type="dxa"/>
            <w:bottom w:w="0" w:type="dxa"/>
            <w:right w:w="108" w:type="dxa"/>
          </w:tblCellMar>
        </w:tblPrEx>
        <w:trPr>
          <w:trHeight w:val="340" w:hRule="atLeast"/>
          <w:jc w:val="center"/>
        </w:trPr>
        <w:tc>
          <w:tcPr>
            <w:tcW w:w="618" w:type="dxa"/>
            <w:vMerge w:val="restart"/>
            <w:tcBorders>
              <w:top w:val="single" w:color="auto" w:sz="4" w:space="0"/>
              <w:left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序号</w:t>
            </w:r>
          </w:p>
        </w:tc>
        <w:tc>
          <w:tcPr>
            <w:tcW w:w="1573" w:type="dxa"/>
            <w:vMerge w:val="restart"/>
            <w:tcBorders>
              <w:top w:val="single" w:color="auto" w:sz="4" w:space="0"/>
              <w:left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计费基础（万元）</w:t>
            </w:r>
          </w:p>
        </w:tc>
        <w:tc>
          <w:tcPr>
            <w:tcW w:w="1272" w:type="dxa"/>
            <w:vMerge w:val="restart"/>
            <w:tcBorders>
              <w:top w:val="single" w:color="auto" w:sz="4" w:space="0"/>
              <w:left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费率（%）</w:t>
            </w:r>
          </w:p>
        </w:tc>
        <w:tc>
          <w:tcPr>
            <w:tcW w:w="494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算例</w:t>
            </w:r>
          </w:p>
        </w:tc>
      </w:tr>
      <w:tr>
        <w:tblPrEx>
          <w:tblCellMar>
            <w:top w:w="0" w:type="dxa"/>
            <w:left w:w="108" w:type="dxa"/>
            <w:bottom w:w="0" w:type="dxa"/>
            <w:right w:w="108" w:type="dxa"/>
          </w:tblCellMar>
        </w:tblPrEx>
        <w:trPr>
          <w:trHeight w:val="340" w:hRule="atLeast"/>
          <w:jc w:val="center"/>
        </w:trPr>
        <w:tc>
          <w:tcPr>
            <w:tcW w:w="618" w:type="dxa"/>
            <w:vMerge w:val="continue"/>
            <w:tcBorders>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p>
        </w:tc>
        <w:tc>
          <w:tcPr>
            <w:tcW w:w="1573" w:type="dxa"/>
            <w:vMerge w:val="continue"/>
            <w:tcBorders>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p>
        </w:tc>
        <w:tc>
          <w:tcPr>
            <w:tcW w:w="1272" w:type="dxa"/>
            <w:vMerge w:val="continue"/>
            <w:tcBorders>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p>
        </w:tc>
        <w:tc>
          <w:tcPr>
            <w:tcW w:w="171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计费基础（万元）</w:t>
            </w:r>
          </w:p>
        </w:tc>
        <w:tc>
          <w:tcPr>
            <w:tcW w:w="323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工程验收费（万元）</w:t>
            </w:r>
          </w:p>
        </w:tc>
      </w:tr>
      <w:tr>
        <w:tblPrEx>
          <w:tblCellMar>
            <w:top w:w="0" w:type="dxa"/>
            <w:left w:w="108" w:type="dxa"/>
            <w:bottom w:w="0" w:type="dxa"/>
            <w:right w:w="108" w:type="dxa"/>
          </w:tblCellMar>
        </w:tblPrEx>
        <w:trPr>
          <w:trHeight w:val="340" w:hRule="atLeast"/>
          <w:jc w:val="center"/>
        </w:trPr>
        <w:tc>
          <w:tcPr>
            <w:tcW w:w="618" w:type="dxa"/>
            <w:tcBorders>
              <w:top w:val="nil"/>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1573"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≤180</w:t>
            </w:r>
          </w:p>
        </w:tc>
        <w:tc>
          <w:tcPr>
            <w:tcW w:w="1272"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1.7</w:t>
            </w:r>
          </w:p>
        </w:tc>
        <w:tc>
          <w:tcPr>
            <w:tcW w:w="1713"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180</w:t>
            </w:r>
          </w:p>
        </w:tc>
        <w:tc>
          <w:tcPr>
            <w:tcW w:w="3233"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180×1.7%=3.06</w:t>
            </w:r>
          </w:p>
        </w:tc>
      </w:tr>
      <w:tr>
        <w:tblPrEx>
          <w:tblCellMar>
            <w:top w:w="0" w:type="dxa"/>
            <w:left w:w="108" w:type="dxa"/>
            <w:bottom w:w="0" w:type="dxa"/>
            <w:right w:w="108" w:type="dxa"/>
          </w:tblCellMar>
        </w:tblPrEx>
        <w:trPr>
          <w:trHeight w:val="340" w:hRule="atLeast"/>
          <w:jc w:val="center"/>
        </w:trPr>
        <w:tc>
          <w:tcPr>
            <w:tcW w:w="618" w:type="dxa"/>
            <w:tcBorders>
              <w:top w:val="nil"/>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1573"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180-500</w:t>
            </w:r>
          </w:p>
        </w:tc>
        <w:tc>
          <w:tcPr>
            <w:tcW w:w="1272"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1.2</w:t>
            </w:r>
          </w:p>
        </w:tc>
        <w:tc>
          <w:tcPr>
            <w:tcW w:w="1713"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500</w:t>
            </w:r>
          </w:p>
        </w:tc>
        <w:tc>
          <w:tcPr>
            <w:tcW w:w="3233"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3.06+（500-180）×1.2%=6.9</w:t>
            </w:r>
          </w:p>
        </w:tc>
      </w:tr>
      <w:tr>
        <w:tblPrEx>
          <w:tblCellMar>
            <w:top w:w="0" w:type="dxa"/>
            <w:left w:w="108" w:type="dxa"/>
            <w:bottom w:w="0" w:type="dxa"/>
            <w:right w:w="108" w:type="dxa"/>
          </w:tblCellMar>
        </w:tblPrEx>
        <w:trPr>
          <w:trHeight w:val="340" w:hRule="atLeast"/>
          <w:jc w:val="center"/>
        </w:trPr>
        <w:tc>
          <w:tcPr>
            <w:tcW w:w="61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w:t>
            </w:r>
          </w:p>
        </w:tc>
        <w:tc>
          <w:tcPr>
            <w:tcW w:w="1573"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500-1000</w:t>
            </w:r>
          </w:p>
        </w:tc>
        <w:tc>
          <w:tcPr>
            <w:tcW w:w="1272"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1.1</w:t>
            </w:r>
          </w:p>
        </w:tc>
        <w:tc>
          <w:tcPr>
            <w:tcW w:w="1713"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1000</w:t>
            </w:r>
          </w:p>
        </w:tc>
        <w:tc>
          <w:tcPr>
            <w:tcW w:w="3233"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6.9+（1000-500）×1.1%=12.4</w:t>
            </w:r>
          </w:p>
        </w:tc>
      </w:tr>
      <w:tr>
        <w:tblPrEx>
          <w:tblCellMar>
            <w:top w:w="0" w:type="dxa"/>
            <w:left w:w="108" w:type="dxa"/>
            <w:bottom w:w="0" w:type="dxa"/>
            <w:right w:w="108" w:type="dxa"/>
          </w:tblCellMar>
        </w:tblPrEx>
        <w:trPr>
          <w:trHeight w:val="340" w:hRule="atLeast"/>
          <w:jc w:val="center"/>
        </w:trPr>
        <w:tc>
          <w:tcPr>
            <w:tcW w:w="61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4</w:t>
            </w:r>
          </w:p>
        </w:tc>
        <w:tc>
          <w:tcPr>
            <w:tcW w:w="1573"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1000-3000</w:t>
            </w:r>
          </w:p>
        </w:tc>
        <w:tc>
          <w:tcPr>
            <w:tcW w:w="1272"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w:t>
            </w:r>
          </w:p>
        </w:tc>
        <w:tc>
          <w:tcPr>
            <w:tcW w:w="1713"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3000</w:t>
            </w:r>
          </w:p>
        </w:tc>
        <w:tc>
          <w:tcPr>
            <w:tcW w:w="3233"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12.4+（3000-1000）×1.0%=32.4</w:t>
            </w:r>
          </w:p>
        </w:tc>
      </w:tr>
      <w:tr>
        <w:tblPrEx>
          <w:tblCellMar>
            <w:top w:w="0" w:type="dxa"/>
            <w:left w:w="108" w:type="dxa"/>
            <w:bottom w:w="0" w:type="dxa"/>
            <w:right w:w="108" w:type="dxa"/>
          </w:tblCellMar>
        </w:tblPrEx>
        <w:trPr>
          <w:trHeight w:val="340" w:hRule="atLeast"/>
          <w:jc w:val="center"/>
        </w:trPr>
        <w:tc>
          <w:tcPr>
            <w:tcW w:w="61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w:t>
            </w:r>
          </w:p>
        </w:tc>
        <w:tc>
          <w:tcPr>
            <w:tcW w:w="1573"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3000-5000</w:t>
            </w:r>
          </w:p>
        </w:tc>
        <w:tc>
          <w:tcPr>
            <w:tcW w:w="1272"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0.9</w:t>
            </w:r>
          </w:p>
        </w:tc>
        <w:tc>
          <w:tcPr>
            <w:tcW w:w="1713"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5000</w:t>
            </w:r>
          </w:p>
        </w:tc>
        <w:tc>
          <w:tcPr>
            <w:tcW w:w="3233"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32.4+（5000-3000）×0.9%=50.4</w:t>
            </w:r>
          </w:p>
        </w:tc>
      </w:tr>
      <w:tr>
        <w:tblPrEx>
          <w:tblCellMar>
            <w:top w:w="0" w:type="dxa"/>
            <w:left w:w="108" w:type="dxa"/>
            <w:bottom w:w="0" w:type="dxa"/>
            <w:right w:w="108" w:type="dxa"/>
          </w:tblCellMar>
        </w:tblPrEx>
        <w:trPr>
          <w:trHeight w:val="340" w:hRule="atLeast"/>
          <w:jc w:val="center"/>
        </w:trPr>
        <w:tc>
          <w:tcPr>
            <w:tcW w:w="61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6</w:t>
            </w:r>
          </w:p>
        </w:tc>
        <w:tc>
          <w:tcPr>
            <w:tcW w:w="1573"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5000-10000</w:t>
            </w:r>
          </w:p>
        </w:tc>
        <w:tc>
          <w:tcPr>
            <w:tcW w:w="1272"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0.8</w:t>
            </w:r>
          </w:p>
        </w:tc>
        <w:tc>
          <w:tcPr>
            <w:tcW w:w="1713"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10000</w:t>
            </w:r>
          </w:p>
        </w:tc>
        <w:tc>
          <w:tcPr>
            <w:tcW w:w="3233"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50.4+（10000-5000）×0.8%=90.4</w:t>
            </w:r>
          </w:p>
        </w:tc>
      </w:tr>
      <w:tr>
        <w:tblPrEx>
          <w:tblCellMar>
            <w:top w:w="0" w:type="dxa"/>
            <w:left w:w="108" w:type="dxa"/>
            <w:bottom w:w="0" w:type="dxa"/>
            <w:right w:w="108" w:type="dxa"/>
          </w:tblCellMar>
        </w:tblPrEx>
        <w:trPr>
          <w:trHeight w:val="340" w:hRule="atLeast"/>
          <w:jc w:val="center"/>
        </w:trPr>
        <w:tc>
          <w:tcPr>
            <w:tcW w:w="61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7</w:t>
            </w:r>
          </w:p>
        </w:tc>
        <w:tc>
          <w:tcPr>
            <w:tcW w:w="1573"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10000以上</w:t>
            </w:r>
          </w:p>
        </w:tc>
        <w:tc>
          <w:tcPr>
            <w:tcW w:w="1272"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0.7</w:t>
            </w:r>
          </w:p>
        </w:tc>
        <w:tc>
          <w:tcPr>
            <w:tcW w:w="1713"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15000</w:t>
            </w:r>
          </w:p>
        </w:tc>
        <w:tc>
          <w:tcPr>
            <w:tcW w:w="3233"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90.4+（15000-10000）×0.7%=125.4</w:t>
            </w:r>
          </w:p>
        </w:tc>
      </w:tr>
    </w:tbl>
    <w:p>
      <w:pPr>
        <w:keepNext w:val="0"/>
        <w:keepLines w:val="0"/>
        <w:pageBreakBefore w:val="0"/>
        <w:widowControl w:val="0"/>
        <w:kinsoku/>
        <w:wordWrap/>
        <w:overflowPunct/>
        <w:topLinePunct w:val="0"/>
        <w:autoSpaceDE/>
        <w:autoSpaceDN/>
        <w:bidi w:val="0"/>
        <w:adjustRightInd w:val="0"/>
        <w:snapToGrid w:val="0"/>
        <w:spacing w:line="240" w:lineRule="exact"/>
        <w:ind w:firstLine="480" w:firstLineChars="200"/>
        <w:jc w:val="left"/>
        <w:textAlignment w:val="auto"/>
        <w:rPr>
          <w:rFonts w:hint="eastAsia" w:ascii="宋体" w:hAnsi="宋体" w:eastAsia="宋体" w:cs="宋体"/>
          <w:color w:val="auto"/>
          <w:sz w:val="24"/>
          <w:szCs w:val="24"/>
          <w:highlight w:val="none"/>
        </w:rPr>
      </w:pPr>
    </w:p>
    <w:p>
      <w:pPr>
        <w:wordWrap/>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项目决算编制与审计费以工程施工费作为计费基数，采用差额定率累进法计算。</w:t>
      </w:r>
    </w:p>
    <w:p>
      <w:pPr>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br w:type="page"/>
      </w:r>
    </w:p>
    <w:p>
      <w:pPr>
        <w:keepNext w:val="0"/>
        <w:keepLines w:val="0"/>
        <w:pageBreakBefore w:val="0"/>
        <w:widowControl w:val="0"/>
        <w:tabs>
          <w:tab w:val="left" w:pos="7235"/>
        </w:tabs>
        <w:kinsoku/>
        <w:wordWrap/>
        <w:overflowPunct/>
        <w:topLinePunct w:val="0"/>
        <w:autoSpaceDE/>
        <w:autoSpaceDN/>
        <w:bidi w:val="0"/>
        <w:adjustRightInd w:val="0"/>
        <w:snapToGrid w:val="0"/>
        <w:spacing w:line="360" w:lineRule="auto"/>
        <w:ind w:right="-518" w:rightChars="-216" w:firstLine="0" w:firstLineChars="0"/>
        <w:jc w:val="center"/>
        <w:textAlignment w:val="auto"/>
        <w:rPr>
          <w:rFonts w:hint="eastAsia" w:ascii="宋体" w:hAnsi="宋体" w:eastAsia="宋体" w:cs="宋体"/>
          <w:b/>
          <w:color w:val="auto"/>
          <w:sz w:val="21"/>
          <w:szCs w:val="21"/>
          <w:highlight w:val="none"/>
        </w:rPr>
      </w:pPr>
      <w:r>
        <w:rPr>
          <w:rFonts w:hint="eastAsia" w:ascii="宋体" w:hAnsi="宋体" w:eastAsia="宋体" w:cs="宋体"/>
          <w:b w:val="0"/>
          <w:bCs/>
          <w:color w:val="auto"/>
          <w:sz w:val="24"/>
          <w:szCs w:val="24"/>
          <w:highlight w:val="none"/>
        </w:rPr>
        <w:t>表</w:t>
      </w:r>
      <w:r>
        <w:rPr>
          <w:rFonts w:hint="eastAsia" w:ascii="宋体" w:hAnsi="宋体" w:eastAsia="宋体" w:cs="宋体"/>
          <w:b w:val="0"/>
          <w:bCs/>
          <w:color w:val="auto"/>
          <w:sz w:val="24"/>
          <w:szCs w:val="24"/>
          <w:highlight w:val="none"/>
          <w:lang w:val="en-US" w:eastAsia="zh-CN"/>
        </w:rPr>
        <w:t>6-8</w:t>
      </w:r>
      <w:r>
        <w:rPr>
          <w:rFonts w:hint="eastAsia" w:ascii="宋体" w:hAnsi="宋体" w:eastAsia="宋体" w:cs="宋体"/>
          <w:b w:val="0"/>
          <w:bCs/>
          <w:color w:val="auto"/>
          <w:sz w:val="24"/>
          <w:szCs w:val="24"/>
          <w:highlight w:val="none"/>
        </w:rPr>
        <w:t xml:space="preserve">  项目决算编制与审计费标准</w:t>
      </w:r>
    </w:p>
    <w:tbl>
      <w:tblPr>
        <w:tblStyle w:val="87"/>
        <w:tblW w:w="8376" w:type="dxa"/>
        <w:jc w:val="center"/>
        <w:tblLayout w:type="fixed"/>
        <w:tblCellMar>
          <w:top w:w="0" w:type="dxa"/>
          <w:left w:w="108" w:type="dxa"/>
          <w:bottom w:w="0" w:type="dxa"/>
          <w:right w:w="108" w:type="dxa"/>
        </w:tblCellMar>
      </w:tblPr>
      <w:tblGrid>
        <w:gridCol w:w="675"/>
        <w:gridCol w:w="1511"/>
        <w:gridCol w:w="960"/>
        <w:gridCol w:w="1736"/>
        <w:gridCol w:w="3494"/>
      </w:tblGrid>
      <w:tr>
        <w:tblPrEx>
          <w:tblCellMar>
            <w:top w:w="0" w:type="dxa"/>
            <w:left w:w="108" w:type="dxa"/>
            <w:bottom w:w="0" w:type="dxa"/>
            <w:right w:w="108" w:type="dxa"/>
          </w:tblCellMar>
        </w:tblPrEx>
        <w:trPr>
          <w:trHeight w:val="340" w:hRule="atLeast"/>
          <w:jc w:val="center"/>
        </w:trPr>
        <w:tc>
          <w:tcPr>
            <w:tcW w:w="675" w:type="dxa"/>
            <w:vMerge w:val="restart"/>
            <w:tcBorders>
              <w:top w:val="single" w:color="auto" w:sz="4" w:space="0"/>
              <w:left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序号</w:t>
            </w:r>
          </w:p>
        </w:tc>
        <w:tc>
          <w:tcPr>
            <w:tcW w:w="1511" w:type="dxa"/>
            <w:vMerge w:val="restart"/>
            <w:tcBorders>
              <w:top w:val="single" w:color="auto" w:sz="4" w:space="0"/>
              <w:left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计费基础</w:t>
            </w:r>
          </w:p>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（万元）</w:t>
            </w:r>
          </w:p>
        </w:tc>
        <w:tc>
          <w:tcPr>
            <w:tcW w:w="960" w:type="dxa"/>
            <w:vMerge w:val="restart"/>
            <w:tcBorders>
              <w:top w:val="single" w:color="auto" w:sz="4" w:space="0"/>
              <w:left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费率</w:t>
            </w:r>
          </w:p>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w:t>
            </w:r>
          </w:p>
        </w:tc>
        <w:tc>
          <w:tcPr>
            <w:tcW w:w="523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算例</w:t>
            </w:r>
          </w:p>
        </w:tc>
      </w:tr>
      <w:tr>
        <w:tblPrEx>
          <w:tblCellMar>
            <w:top w:w="0" w:type="dxa"/>
            <w:left w:w="108" w:type="dxa"/>
            <w:bottom w:w="0" w:type="dxa"/>
            <w:right w:w="108" w:type="dxa"/>
          </w:tblCellMar>
        </w:tblPrEx>
        <w:trPr>
          <w:trHeight w:val="340" w:hRule="atLeast"/>
          <w:jc w:val="center"/>
        </w:trPr>
        <w:tc>
          <w:tcPr>
            <w:tcW w:w="675" w:type="dxa"/>
            <w:vMerge w:val="continue"/>
            <w:tcBorders>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p>
        </w:tc>
        <w:tc>
          <w:tcPr>
            <w:tcW w:w="1511" w:type="dxa"/>
            <w:vMerge w:val="continue"/>
            <w:tcBorders>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p>
        </w:tc>
        <w:tc>
          <w:tcPr>
            <w:tcW w:w="960" w:type="dxa"/>
            <w:vMerge w:val="continue"/>
            <w:tcBorders>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p>
        </w:tc>
        <w:tc>
          <w:tcPr>
            <w:tcW w:w="173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计费基础（万元）</w:t>
            </w:r>
          </w:p>
        </w:tc>
        <w:tc>
          <w:tcPr>
            <w:tcW w:w="349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项目决算编制与审计费（万元）</w:t>
            </w:r>
          </w:p>
        </w:tc>
      </w:tr>
      <w:tr>
        <w:tblPrEx>
          <w:tblCellMar>
            <w:top w:w="0" w:type="dxa"/>
            <w:left w:w="108" w:type="dxa"/>
            <w:bottom w:w="0" w:type="dxa"/>
            <w:right w:w="108" w:type="dxa"/>
          </w:tblCellMar>
        </w:tblPrEx>
        <w:trPr>
          <w:trHeight w:val="340" w:hRule="atLeast"/>
          <w:jc w:val="center"/>
        </w:trPr>
        <w:tc>
          <w:tcPr>
            <w:tcW w:w="675" w:type="dxa"/>
            <w:tcBorders>
              <w:top w:val="nil"/>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1511"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≤500</w:t>
            </w:r>
          </w:p>
        </w:tc>
        <w:tc>
          <w:tcPr>
            <w:tcW w:w="960"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w:t>
            </w:r>
          </w:p>
        </w:tc>
        <w:tc>
          <w:tcPr>
            <w:tcW w:w="1736"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500</w:t>
            </w:r>
          </w:p>
        </w:tc>
        <w:tc>
          <w:tcPr>
            <w:tcW w:w="3494"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500×1.0%=5</w:t>
            </w:r>
          </w:p>
        </w:tc>
      </w:tr>
      <w:tr>
        <w:tblPrEx>
          <w:tblCellMar>
            <w:top w:w="0" w:type="dxa"/>
            <w:left w:w="108" w:type="dxa"/>
            <w:bottom w:w="0" w:type="dxa"/>
            <w:right w:w="108" w:type="dxa"/>
          </w:tblCellMar>
        </w:tblPrEx>
        <w:trPr>
          <w:trHeight w:val="340" w:hRule="atLeast"/>
          <w:jc w:val="center"/>
        </w:trPr>
        <w:tc>
          <w:tcPr>
            <w:tcW w:w="675" w:type="dxa"/>
            <w:tcBorders>
              <w:top w:val="nil"/>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1511"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500-1000</w:t>
            </w:r>
          </w:p>
        </w:tc>
        <w:tc>
          <w:tcPr>
            <w:tcW w:w="960"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0.9</w:t>
            </w:r>
          </w:p>
        </w:tc>
        <w:tc>
          <w:tcPr>
            <w:tcW w:w="1736"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1000</w:t>
            </w:r>
          </w:p>
        </w:tc>
        <w:tc>
          <w:tcPr>
            <w:tcW w:w="3494"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5+（1000-500）×0.9%=9.5</w:t>
            </w:r>
          </w:p>
        </w:tc>
      </w:tr>
      <w:tr>
        <w:tblPrEx>
          <w:tblCellMar>
            <w:top w:w="0" w:type="dxa"/>
            <w:left w:w="108" w:type="dxa"/>
            <w:bottom w:w="0" w:type="dxa"/>
            <w:right w:w="108" w:type="dxa"/>
          </w:tblCellMar>
        </w:tblPrEx>
        <w:trPr>
          <w:trHeight w:val="34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w:t>
            </w:r>
          </w:p>
        </w:tc>
        <w:tc>
          <w:tcPr>
            <w:tcW w:w="1511"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1000-3000</w:t>
            </w:r>
          </w:p>
        </w:tc>
        <w:tc>
          <w:tcPr>
            <w:tcW w:w="960"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0.8</w:t>
            </w:r>
          </w:p>
        </w:tc>
        <w:tc>
          <w:tcPr>
            <w:tcW w:w="1736"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3000</w:t>
            </w:r>
          </w:p>
        </w:tc>
        <w:tc>
          <w:tcPr>
            <w:tcW w:w="3494"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9.5+（3000-1000）×0.8%=25.5</w:t>
            </w:r>
          </w:p>
        </w:tc>
      </w:tr>
      <w:tr>
        <w:tblPrEx>
          <w:tblCellMar>
            <w:top w:w="0" w:type="dxa"/>
            <w:left w:w="108" w:type="dxa"/>
            <w:bottom w:w="0" w:type="dxa"/>
            <w:right w:w="108" w:type="dxa"/>
          </w:tblCellMar>
        </w:tblPrEx>
        <w:trPr>
          <w:trHeight w:val="34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4</w:t>
            </w:r>
          </w:p>
        </w:tc>
        <w:tc>
          <w:tcPr>
            <w:tcW w:w="1511"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3000-5000</w:t>
            </w:r>
          </w:p>
        </w:tc>
        <w:tc>
          <w:tcPr>
            <w:tcW w:w="960"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0.7</w:t>
            </w:r>
          </w:p>
        </w:tc>
        <w:tc>
          <w:tcPr>
            <w:tcW w:w="1736"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5000</w:t>
            </w:r>
          </w:p>
        </w:tc>
        <w:tc>
          <w:tcPr>
            <w:tcW w:w="3494"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25.5+（5000-3000）×0.7%=39.5</w:t>
            </w:r>
          </w:p>
        </w:tc>
      </w:tr>
      <w:tr>
        <w:tblPrEx>
          <w:tblCellMar>
            <w:top w:w="0" w:type="dxa"/>
            <w:left w:w="108" w:type="dxa"/>
            <w:bottom w:w="0" w:type="dxa"/>
            <w:right w:w="108" w:type="dxa"/>
          </w:tblCellMar>
        </w:tblPrEx>
        <w:trPr>
          <w:trHeight w:val="34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w:t>
            </w:r>
          </w:p>
        </w:tc>
        <w:tc>
          <w:tcPr>
            <w:tcW w:w="1511"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5000-10000</w:t>
            </w:r>
          </w:p>
        </w:tc>
        <w:tc>
          <w:tcPr>
            <w:tcW w:w="960"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0.6</w:t>
            </w:r>
          </w:p>
        </w:tc>
        <w:tc>
          <w:tcPr>
            <w:tcW w:w="1736"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10000</w:t>
            </w:r>
          </w:p>
        </w:tc>
        <w:tc>
          <w:tcPr>
            <w:tcW w:w="3494"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39.5+（10000-5000）×0.6%=69.5</w:t>
            </w:r>
          </w:p>
        </w:tc>
      </w:tr>
      <w:tr>
        <w:tblPrEx>
          <w:tblCellMar>
            <w:top w:w="0" w:type="dxa"/>
            <w:left w:w="108" w:type="dxa"/>
            <w:bottom w:w="0" w:type="dxa"/>
            <w:right w:w="108" w:type="dxa"/>
          </w:tblCellMar>
        </w:tblPrEx>
        <w:trPr>
          <w:trHeight w:val="34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6</w:t>
            </w:r>
          </w:p>
        </w:tc>
        <w:tc>
          <w:tcPr>
            <w:tcW w:w="1511"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10000以上</w:t>
            </w:r>
          </w:p>
        </w:tc>
        <w:tc>
          <w:tcPr>
            <w:tcW w:w="960"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0.5</w:t>
            </w:r>
          </w:p>
        </w:tc>
        <w:tc>
          <w:tcPr>
            <w:tcW w:w="1736"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15000</w:t>
            </w:r>
          </w:p>
        </w:tc>
        <w:tc>
          <w:tcPr>
            <w:tcW w:w="3494"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69.5+（15000-10000）×0.5%=94.5</w:t>
            </w:r>
          </w:p>
        </w:tc>
      </w:tr>
    </w:tbl>
    <w:p>
      <w:pPr>
        <w:keepNext w:val="0"/>
        <w:keepLines w:val="0"/>
        <w:pageBreakBefore w:val="0"/>
        <w:widowControl w:val="0"/>
        <w:kinsoku/>
        <w:wordWrap/>
        <w:overflowPunct/>
        <w:topLinePunct w:val="0"/>
        <w:autoSpaceDE/>
        <w:autoSpaceDN/>
        <w:bidi w:val="0"/>
        <w:adjustRightInd w:val="0"/>
        <w:snapToGrid w:val="0"/>
        <w:spacing w:line="240" w:lineRule="exact"/>
        <w:ind w:firstLine="480" w:firstLineChars="200"/>
        <w:jc w:val="left"/>
        <w:textAlignment w:val="auto"/>
        <w:rPr>
          <w:rFonts w:hint="eastAsia" w:ascii="宋体" w:hAnsi="宋体" w:eastAsia="宋体" w:cs="宋体"/>
          <w:color w:val="auto"/>
          <w:sz w:val="24"/>
          <w:szCs w:val="24"/>
          <w:highlight w:val="none"/>
          <w:lang w:val="en-US" w:eastAsia="zh-CN"/>
        </w:rPr>
      </w:pPr>
    </w:p>
    <w:p>
      <w:pPr>
        <w:wordWrap/>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d</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项目管理费</w:t>
      </w:r>
    </w:p>
    <w:p>
      <w:pPr>
        <w:wordWrap/>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以工程施工费、前期工作费、工程监理费和竣工验收费之和作为计费基数，采用差额定率累进法计算。</w:t>
      </w:r>
    </w:p>
    <w:p>
      <w:pPr>
        <w:keepNext w:val="0"/>
        <w:keepLines w:val="0"/>
        <w:pageBreakBefore w:val="0"/>
        <w:widowControl w:val="0"/>
        <w:tabs>
          <w:tab w:val="left" w:pos="7235"/>
        </w:tabs>
        <w:kinsoku/>
        <w:wordWrap/>
        <w:overflowPunct/>
        <w:topLinePunct w:val="0"/>
        <w:autoSpaceDE/>
        <w:autoSpaceDN/>
        <w:bidi w:val="0"/>
        <w:adjustRightInd w:val="0"/>
        <w:snapToGrid w:val="0"/>
        <w:spacing w:line="360" w:lineRule="auto"/>
        <w:ind w:right="-518" w:rightChars="-216" w:firstLine="0" w:firstLineChars="0"/>
        <w:jc w:val="center"/>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表</w:t>
      </w:r>
      <w:r>
        <w:rPr>
          <w:rFonts w:hint="eastAsia" w:ascii="宋体" w:hAnsi="宋体" w:eastAsia="宋体" w:cs="宋体"/>
          <w:b w:val="0"/>
          <w:bCs/>
          <w:color w:val="auto"/>
          <w:sz w:val="24"/>
          <w:szCs w:val="24"/>
          <w:highlight w:val="none"/>
          <w:lang w:val="en-US" w:eastAsia="zh-CN"/>
        </w:rPr>
        <w:t>6-9</w:t>
      </w:r>
      <w:r>
        <w:rPr>
          <w:rFonts w:hint="eastAsia" w:ascii="宋体" w:hAnsi="宋体" w:eastAsia="宋体" w:cs="宋体"/>
          <w:b w:val="0"/>
          <w:bCs/>
          <w:color w:val="auto"/>
          <w:sz w:val="24"/>
          <w:szCs w:val="24"/>
          <w:highlight w:val="none"/>
        </w:rPr>
        <w:t xml:space="preserve">  项目管理费计费标准</w:t>
      </w:r>
    </w:p>
    <w:tbl>
      <w:tblPr>
        <w:tblStyle w:val="87"/>
        <w:tblW w:w="8407" w:type="dxa"/>
        <w:jc w:val="center"/>
        <w:tblLayout w:type="fixed"/>
        <w:tblCellMar>
          <w:top w:w="0" w:type="dxa"/>
          <w:left w:w="108" w:type="dxa"/>
          <w:bottom w:w="0" w:type="dxa"/>
          <w:right w:w="108" w:type="dxa"/>
        </w:tblCellMar>
      </w:tblPr>
      <w:tblGrid>
        <w:gridCol w:w="675"/>
        <w:gridCol w:w="1376"/>
        <w:gridCol w:w="1170"/>
        <w:gridCol w:w="1860"/>
        <w:gridCol w:w="3326"/>
      </w:tblGrid>
      <w:tr>
        <w:tblPrEx>
          <w:tblCellMar>
            <w:top w:w="0" w:type="dxa"/>
            <w:left w:w="108" w:type="dxa"/>
            <w:bottom w:w="0" w:type="dxa"/>
            <w:right w:w="108" w:type="dxa"/>
          </w:tblCellMar>
        </w:tblPrEx>
        <w:trPr>
          <w:trHeight w:val="340" w:hRule="atLeast"/>
          <w:jc w:val="center"/>
        </w:trPr>
        <w:tc>
          <w:tcPr>
            <w:tcW w:w="675" w:type="dxa"/>
            <w:vMerge w:val="restart"/>
            <w:tcBorders>
              <w:top w:val="single" w:color="auto" w:sz="4" w:space="0"/>
              <w:left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序号</w:t>
            </w:r>
          </w:p>
        </w:tc>
        <w:tc>
          <w:tcPr>
            <w:tcW w:w="1376" w:type="dxa"/>
            <w:vMerge w:val="restart"/>
            <w:tcBorders>
              <w:top w:val="single" w:color="auto" w:sz="4" w:space="0"/>
              <w:left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计费基础</w:t>
            </w:r>
          </w:p>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（万元）</w:t>
            </w:r>
          </w:p>
        </w:tc>
        <w:tc>
          <w:tcPr>
            <w:tcW w:w="1170" w:type="dxa"/>
            <w:vMerge w:val="restart"/>
            <w:tcBorders>
              <w:top w:val="single" w:color="auto" w:sz="4" w:space="0"/>
              <w:left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费率</w:t>
            </w:r>
          </w:p>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w:t>
            </w:r>
          </w:p>
        </w:tc>
        <w:tc>
          <w:tcPr>
            <w:tcW w:w="518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算例</w:t>
            </w:r>
          </w:p>
        </w:tc>
      </w:tr>
      <w:tr>
        <w:tblPrEx>
          <w:tblCellMar>
            <w:top w:w="0" w:type="dxa"/>
            <w:left w:w="108" w:type="dxa"/>
            <w:bottom w:w="0" w:type="dxa"/>
            <w:right w:w="108" w:type="dxa"/>
          </w:tblCellMar>
        </w:tblPrEx>
        <w:trPr>
          <w:trHeight w:val="340" w:hRule="atLeast"/>
          <w:jc w:val="center"/>
        </w:trPr>
        <w:tc>
          <w:tcPr>
            <w:tcW w:w="675" w:type="dxa"/>
            <w:vMerge w:val="continue"/>
            <w:tcBorders>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p>
        </w:tc>
        <w:tc>
          <w:tcPr>
            <w:tcW w:w="1376" w:type="dxa"/>
            <w:vMerge w:val="continue"/>
            <w:tcBorders>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p>
        </w:tc>
        <w:tc>
          <w:tcPr>
            <w:tcW w:w="1170" w:type="dxa"/>
            <w:vMerge w:val="continue"/>
            <w:tcBorders>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p>
        </w:tc>
        <w:tc>
          <w:tcPr>
            <w:tcW w:w="186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计费基础（万元）</w:t>
            </w:r>
          </w:p>
        </w:tc>
        <w:tc>
          <w:tcPr>
            <w:tcW w:w="332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项目管理费（万元）</w:t>
            </w:r>
          </w:p>
        </w:tc>
      </w:tr>
      <w:tr>
        <w:tblPrEx>
          <w:tblCellMar>
            <w:top w:w="0" w:type="dxa"/>
            <w:left w:w="108" w:type="dxa"/>
            <w:bottom w:w="0" w:type="dxa"/>
            <w:right w:w="108" w:type="dxa"/>
          </w:tblCellMar>
        </w:tblPrEx>
        <w:trPr>
          <w:trHeight w:val="340" w:hRule="atLeast"/>
          <w:jc w:val="center"/>
        </w:trPr>
        <w:tc>
          <w:tcPr>
            <w:tcW w:w="675" w:type="dxa"/>
            <w:tcBorders>
              <w:top w:val="nil"/>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1376"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≤500</w:t>
            </w:r>
          </w:p>
        </w:tc>
        <w:tc>
          <w:tcPr>
            <w:tcW w:w="1170"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1.5</w:t>
            </w:r>
          </w:p>
        </w:tc>
        <w:tc>
          <w:tcPr>
            <w:tcW w:w="1860"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500</w:t>
            </w:r>
          </w:p>
        </w:tc>
        <w:tc>
          <w:tcPr>
            <w:tcW w:w="3326"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500×1.5%=7.5</w:t>
            </w:r>
          </w:p>
        </w:tc>
      </w:tr>
      <w:tr>
        <w:tblPrEx>
          <w:tblCellMar>
            <w:top w:w="0" w:type="dxa"/>
            <w:left w:w="108" w:type="dxa"/>
            <w:bottom w:w="0" w:type="dxa"/>
            <w:right w:w="108" w:type="dxa"/>
          </w:tblCellMar>
        </w:tblPrEx>
        <w:trPr>
          <w:trHeight w:val="340" w:hRule="atLeast"/>
          <w:jc w:val="center"/>
        </w:trPr>
        <w:tc>
          <w:tcPr>
            <w:tcW w:w="675" w:type="dxa"/>
            <w:tcBorders>
              <w:top w:val="nil"/>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1376"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500-1000</w:t>
            </w:r>
          </w:p>
        </w:tc>
        <w:tc>
          <w:tcPr>
            <w:tcW w:w="1170"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w:t>
            </w:r>
          </w:p>
        </w:tc>
        <w:tc>
          <w:tcPr>
            <w:tcW w:w="1860"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1000</w:t>
            </w:r>
          </w:p>
        </w:tc>
        <w:tc>
          <w:tcPr>
            <w:tcW w:w="3326"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7.5+（1000-500）×1.0%=12.5</w:t>
            </w:r>
          </w:p>
        </w:tc>
      </w:tr>
      <w:tr>
        <w:tblPrEx>
          <w:tblCellMar>
            <w:top w:w="0" w:type="dxa"/>
            <w:left w:w="108" w:type="dxa"/>
            <w:bottom w:w="0" w:type="dxa"/>
            <w:right w:w="108" w:type="dxa"/>
          </w:tblCellMar>
        </w:tblPrEx>
        <w:trPr>
          <w:trHeight w:val="34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w:t>
            </w:r>
          </w:p>
        </w:tc>
        <w:tc>
          <w:tcPr>
            <w:tcW w:w="1376"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1000-3000</w:t>
            </w:r>
          </w:p>
        </w:tc>
        <w:tc>
          <w:tcPr>
            <w:tcW w:w="1170"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0.5</w:t>
            </w:r>
          </w:p>
        </w:tc>
        <w:tc>
          <w:tcPr>
            <w:tcW w:w="1860"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3000</w:t>
            </w:r>
          </w:p>
        </w:tc>
        <w:tc>
          <w:tcPr>
            <w:tcW w:w="3326"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12.5+（3000-1000）×0.5%=22.5</w:t>
            </w:r>
          </w:p>
        </w:tc>
      </w:tr>
      <w:tr>
        <w:tblPrEx>
          <w:tblCellMar>
            <w:top w:w="0" w:type="dxa"/>
            <w:left w:w="108" w:type="dxa"/>
            <w:bottom w:w="0" w:type="dxa"/>
            <w:right w:w="108" w:type="dxa"/>
          </w:tblCellMar>
        </w:tblPrEx>
        <w:trPr>
          <w:trHeight w:val="34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4</w:t>
            </w:r>
          </w:p>
        </w:tc>
        <w:tc>
          <w:tcPr>
            <w:tcW w:w="1376"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3000-5000</w:t>
            </w:r>
          </w:p>
        </w:tc>
        <w:tc>
          <w:tcPr>
            <w:tcW w:w="1170"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0.3</w:t>
            </w:r>
          </w:p>
        </w:tc>
        <w:tc>
          <w:tcPr>
            <w:tcW w:w="1860"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5000</w:t>
            </w:r>
          </w:p>
        </w:tc>
        <w:tc>
          <w:tcPr>
            <w:tcW w:w="3326"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22.5+（5000-3000）×0.3%=28.5</w:t>
            </w:r>
          </w:p>
        </w:tc>
      </w:tr>
      <w:tr>
        <w:tblPrEx>
          <w:tblCellMar>
            <w:top w:w="0" w:type="dxa"/>
            <w:left w:w="108" w:type="dxa"/>
            <w:bottom w:w="0" w:type="dxa"/>
            <w:right w:w="108" w:type="dxa"/>
          </w:tblCellMar>
        </w:tblPrEx>
        <w:trPr>
          <w:trHeight w:val="34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w:t>
            </w:r>
          </w:p>
        </w:tc>
        <w:tc>
          <w:tcPr>
            <w:tcW w:w="1376"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5000-10000</w:t>
            </w:r>
          </w:p>
        </w:tc>
        <w:tc>
          <w:tcPr>
            <w:tcW w:w="1170"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0.1</w:t>
            </w:r>
          </w:p>
        </w:tc>
        <w:tc>
          <w:tcPr>
            <w:tcW w:w="1860"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10000</w:t>
            </w:r>
          </w:p>
        </w:tc>
        <w:tc>
          <w:tcPr>
            <w:tcW w:w="3326"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28.5+（10000-5000）×0.1%=33.5</w:t>
            </w:r>
          </w:p>
        </w:tc>
      </w:tr>
      <w:tr>
        <w:tblPrEx>
          <w:tblCellMar>
            <w:top w:w="0" w:type="dxa"/>
            <w:left w:w="108" w:type="dxa"/>
            <w:bottom w:w="0" w:type="dxa"/>
            <w:right w:w="108" w:type="dxa"/>
          </w:tblCellMar>
        </w:tblPrEx>
        <w:trPr>
          <w:trHeight w:val="34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6</w:t>
            </w:r>
          </w:p>
        </w:tc>
        <w:tc>
          <w:tcPr>
            <w:tcW w:w="1376"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10000以上</w:t>
            </w:r>
          </w:p>
        </w:tc>
        <w:tc>
          <w:tcPr>
            <w:tcW w:w="1170"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0.08</w:t>
            </w:r>
          </w:p>
        </w:tc>
        <w:tc>
          <w:tcPr>
            <w:tcW w:w="1860"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15000</w:t>
            </w:r>
          </w:p>
        </w:tc>
        <w:tc>
          <w:tcPr>
            <w:tcW w:w="3326" w:type="dxa"/>
            <w:tcBorders>
              <w:top w:val="single" w:color="auto" w:sz="4" w:space="0"/>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33.5+（15000-10000）×0.08%=37.5</w:t>
            </w:r>
          </w:p>
        </w:tc>
      </w:tr>
    </w:tbl>
    <w:p>
      <w:pPr>
        <w:keepNext w:val="0"/>
        <w:keepLines w:val="0"/>
        <w:pageBreakBefore w:val="0"/>
        <w:widowControl w:val="0"/>
        <w:kinsoku/>
        <w:wordWrap/>
        <w:overflowPunct/>
        <w:topLinePunct w:val="0"/>
        <w:autoSpaceDE/>
        <w:autoSpaceDN/>
        <w:bidi w:val="0"/>
        <w:adjustRightInd w:val="0"/>
        <w:snapToGrid w:val="0"/>
        <w:spacing w:line="240" w:lineRule="exact"/>
        <w:ind w:firstLine="482" w:firstLineChars="200"/>
        <w:jc w:val="left"/>
        <w:textAlignment w:val="auto"/>
        <w:rPr>
          <w:rFonts w:hint="eastAsia" w:ascii="宋体" w:hAnsi="宋体" w:eastAsia="宋体" w:cs="宋体"/>
          <w:b/>
          <w:color w:val="auto"/>
          <w:sz w:val="24"/>
          <w:szCs w:val="24"/>
          <w:highlight w:val="none"/>
        </w:rPr>
      </w:pPr>
    </w:p>
    <w:p>
      <w:pPr>
        <w:wordWrap/>
        <w:spacing w:line="360" w:lineRule="auto"/>
        <w:ind w:firstLine="480" w:firstLineChars="200"/>
        <w:jc w:val="left"/>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（3）</w:t>
      </w:r>
      <w:r>
        <w:rPr>
          <w:rFonts w:hint="eastAsia" w:ascii="宋体" w:hAnsi="宋体" w:eastAsia="宋体" w:cs="宋体"/>
          <w:b w:val="0"/>
          <w:bCs/>
          <w:color w:val="auto"/>
          <w:sz w:val="24"/>
          <w:szCs w:val="24"/>
          <w:highlight w:val="none"/>
        </w:rPr>
        <w:t>不可预见费</w:t>
      </w:r>
    </w:p>
    <w:p>
      <w:pPr>
        <w:wordWrap/>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不可预见费以工程施工费、其他费用之和作为计费基数，费率取3%。</w:t>
      </w:r>
    </w:p>
    <w:p>
      <w:pPr>
        <w:keepNext w:val="0"/>
        <w:keepLines w:val="0"/>
        <w:pageBreakBefore w:val="0"/>
        <w:widowControl w:val="0"/>
        <w:tabs>
          <w:tab w:val="left" w:pos="7235"/>
        </w:tabs>
        <w:kinsoku/>
        <w:wordWrap/>
        <w:overflowPunct/>
        <w:topLinePunct w:val="0"/>
        <w:autoSpaceDE/>
        <w:autoSpaceDN/>
        <w:bidi w:val="0"/>
        <w:adjustRightInd w:val="0"/>
        <w:snapToGrid w:val="0"/>
        <w:spacing w:line="360" w:lineRule="auto"/>
        <w:ind w:right="-518" w:rightChars="-216" w:firstLine="0" w:firstLineChars="0"/>
        <w:jc w:val="center"/>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表</w:t>
      </w:r>
      <w:r>
        <w:rPr>
          <w:rFonts w:hint="eastAsia" w:ascii="宋体" w:hAnsi="宋体" w:eastAsia="宋体" w:cs="宋体"/>
          <w:b w:val="0"/>
          <w:bCs/>
          <w:color w:val="auto"/>
          <w:sz w:val="24"/>
          <w:szCs w:val="24"/>
          <w:highlight w:val="none"/>
          <w:lang w:val="en-US" w:eastAsia="zh-CN"/>
        </w:rPr>
        <w:t>6-10</w:t>
      </w:r>
      <w:r>
        <w:rPr>
          <w:rFonts w:hint="eastAsia" w:ascii="宋体" w:hAnsi="宋体" w:eastAsia="宋体" w:cs="宋体"/>
          <w:b w:val="0"/>
          <w:bCs/>
          <w:color w:val="auto"/>
          <w:sz w:val="24"/>
          <w:szCs w:val="24"/>
          <w:highlight w:val="none"/>
        </w:rPr>
        <w:t xml:space="preserve">  不可预见费计算表</w:t>
      </w:r>
    </w:p>
    <w:tbl>
      <w:tblPr>
        <w:tblStyle w:val="87"/>
        <w:tblW w:w="8410" w:type="dxa"/>
        <w:jc w:val="center"/>
        <w:tblLayout w:type="fixed"/>
        <w:tblCellMar>
          <w:top w:w="0" w:type="dxa"/>
          <w:left w:w="108" w:type="dxa"/>
          <w:bottom w:w="0" w:type="dxa"/>
          <w:right w:w="108" w:type="dxa"/>
        </w:tblCellMar>
      </w:tblPr>
      <w:tblGrid>
        <w:gridCol w:w="826"/>
        <w:gridCol w:w="2181"/>
        <w:gridCol w:w="3711"/>
        <w:gridCol w:w="1692"/>
      </w:tblGrid>
      <w:tr>
        <w:tblPrEx>
          <w:tblCellMar>
            <w:top w:w="0" w:type="dxa"/>
            <w:left w:w="108" w:type="dxa"/>
            <w:bottom w:w="0" w:type="dxa"/>
            <w:right w:w="108" w:type="dxa"/>
          </w:tblCellMar>
        </w:tblPrEx>
        <w:trPr>
          <w:trHeight w:val="340" w:hRule="atLeast"/>
          <w:jc w:val="center"/>
        </w:trPr>
        <w:tc>
          <w:tcPr>
            <w:tcW w:w="82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序号</w:t>
            </w:r>
          </w:p>
        </w:tc>
        <w:tc>
          <w:tcPr>
            <w:tcW w:w="218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费用名称</w:t>
            </w:r>
          </w:p>
        </w:tc>
        <w:tc>
          <w:tcPr>
            <w:tcW w:w="371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计费基数（万元）</w:t>
            </w:r>
          </w:p>
        </w:tc>
        <w:tc>
          <w:tcPr>
            <w:tcW w:w="169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费率％</w:t>
            </w:r>
          </w:p>
        </w:tc>
      </w:tr>
      <w:tr>
        <w:tblPrEx>
          <w:tblCellMar>
            <w:top w:w="0" w:type="dxa"/>
            <w:left w:w="108" w:type="dxa"/>
            <w:bottom w:w="0" w:type="dxa"/>
            <w:right w:w="108" w:type="dxa"/>
          </w:tblCellMar>
        </w:tblPrEx>
        <w:trPr>
          <w:trHeight w:val="340" w:hRule="atLeast"/>
          <w:jc w:val="center"/>
        </w:trPr>
        <w:tc>
          <w:tcPr>
            <w:tcW w:w="826" w:type="dxa"/>
            <w:tcBorders>
              <w:top w:val="nil"/>
              <w:left w:val="single" w:color="auto" w:sz="4" w:space="0"/>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2181"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不可预见费</w:t>
            </w:r>
          </w:p>
        </w:tc>
        <w:tc>
          <w:tcPr>
            <w:tcW w:w="3711"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工程施工费+其他费用</w:t>
            </w:r>
          </w:p>
        </w:tc>
        <w:tc>
          <w:tcPr>
            <w:tcW w:w="1692" w:type="dxa"/>
            <w:tcBorders>
              <w:top w:val="nil"/>
              <w:left w:val="nil"/>
              <w:bottom w:val="single" w:color="auto" w:sz="4" w:space="0"/>
              <w:right w:val="single" w:color="auto" w:sz="4" w:space="0"/>
            </w:tcBorders>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w:t>
            </w:r>
          </w:p>
        </w:tc>
      </w:tr>
    </w:tbl>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（4）</w:t>
      </w:r>
      <w:r>
        <w:rPr>
          <w:rFonts w:hint="eastAsia" w:ascii="宋体" w:hAnsi="宋体" w:eastAsia="宋体" w:cs="宋体"/>
          <w:b w:val="0"/>
          <w:bCs/>
          <w:color w:val="auto"/>
          <w:sz w:val="24"/>
          <w:szCs w:val="24"/>
          <w:highlight w:val="none"/>
        </w:rPr>
        <w:t>监测管护费</w:t>
      </w:r>
    </w:p>
    <w:p>
      <w:pPr>
        <w:keepNext w:val="0"/>
        <w:keepLines w:val="0"/>
        <w:widowControl w:val="0"/>
        <w:suppressLineNumbers w:val="0"/>
        <w:spacing w:before="0" w:beforeAutospacing="0" w:after="0" w:afterAutospacing="0" w:line="374" w:lineRule="auto"/>
        <w:ind w:left="0" w:right="0" w:firstLine="480" w:firstLineChars="200"/>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监测管护费=监测费+管护费</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kern w:val="2"/>
          <w:sz w:val="24"/>
          <w:szCs w:val="24"/>
          <w:lang w:val="en-US" w:eastAsia="zh-CN" w:bidi="ar"/>
        </w:rPr>
        <w:t>对监测管护费总价进行限定，原则上不超过工程施工费的10%。</w:t>
      </w:r>
    </w:p>
    <w:p>
      <w:pPr>
        <w:wordWrap/>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监测费</w:t>
      </w:r>
      <w:r>
        <w:rPr>
          <w:rFonts w:hint="eastAsia" w:ascii="宋体" w:hAnsi="宋体" w:eastAsia="宋体" w:cs="宋体"/>
          <w:color w:val="auto"/>
          <w:spacing w:val="-4"/>
          <w:kern w:val="2"/>
          <w:sz w:val="24"/>
          <w:szCs w:val="24"/>
          <w:lang w:val="en-US" w:eastAsia="zh-CN" w:bidi="ar"/>
        </w:rPr>
        <w:t>=频率（次/年）×年限（年）×单次费用（万元）</w:t>
      </w:r>
      <w:r>
        <w:rPr>
          <w:rFonts w:hint="eastAsia" w:ascii="宋体" w:hAnsi="宋体" w:eastAsia="宋体" w:cs="宋体"/>
          <w:color w:val="auto"/>
          <w:spacing w:val="-4"/>
          <w:sz w:val="24"/>
          <w:szCs w:val="24"/>
          <w:highlight w:val="none"/>
        </w:rPr>
        <w:t>。</w:t>
      </w:r>
    </w:p>
    <w:p>
      <w:pPr>
        <w:wordWrap/>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管护费</w:t>
      </w:r>
      <w:r>
        <w:rPr>
          <w:rFonts w:hint="eastAsia" w:ascii="宋体" w:hAnsi="宋体" w:eastAsia="宋体" w:cs="宋体"/>
          <w:color w:val="auto"/>
          <w:kern w:val="2"/>
          <w:sz w:val="24"/>
          <w:szCs w:val="24"/>
          <w:lang w:val="en-US" w:eastAsia="zh-CN" w:bidi="ar"/>
        </w:rPr>
        <w:t>=</w:t>
      </w:r>
      <w:r>
        <w:rPr>
          <w:rFonts w:hint="eastAsia" w:ascii="宋体" w:hAnsi="宋体" w:eastAsia="宋体" w:cs="宋体"/>
          <w:color w:val="auto"/>
          <w:spacing w:val="-4"/>
          <w:kern w:val="2"/>
          <w:sz w:val="24"/>
          <w:szCs w:val="24"/>
          <w:lang w:val="en-US" w:eastAsia="zh-CN" w:bidi="ar"/>
        </w:rPr>
        <w:t>频率（次/年）×年限（年）×单次费用（万元）</w:t>
      </w:r>
      <w:r>
        <w:rPr>
          <w:rFonts w:hint="eastAsia" w:ascii="宋体" w:hAnsi="宋体" w:eastAsia="宋体" w:cs="宋体"/>
          <w:color w:val="auto"/>
          <w:sz w:val="24"/>
          <w:szCs w:val="24"/>
          <w:highlight w:val="none"/>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auto"/>
          <w:sz w:val="24"/>
          <w:szCs w:val="24"/>
          <w:highlight w:val="none"/>
          <w:lang w:val="en-US"/>
        </w:rPr>
      </w:pPr>
      <w:r>
        <w:rPr>
          <w:rFonts w:hint="eastAsia" w:ascii="宋体" w:hAnsi="宋体" w:eastAsia="宋体" w:cs="宋体"/>
          <w:b w:val="0"/>
          <w:bCs/>
          <w:color w:val="auto"/>
          <w:sz w:val="24"/>
          <w:szCs w:val="24"/>
          <w:highlight w:val="none"/>
          <w:lang w:val="en-US" w:eastAsia="zh-CN"/>
        </w:rPr>
        <w:t>（5）价差预备费</w:t>
      </w:r>
    </w:p>
    <w:p>
      <w:pPr>
        <w:keepNext w:val="0"/>
        <w:keepLines w:val="0"/>
        <w:widowControl w:val="0"/>
        <w:suppressLineNumbers w:val="0"/>
        <w:spacing w:before="0" w:beforeAutospacing="0" w:after="0" w:afterAutospacing="0"/>
        <w:ind w:left="0" w:right="0" w:firstLine="480" w:firstLineChars="200"/>
        <w:jc w:val="left"/>
        <w:rPr>
          <w:rFonts w:hint="eastAsia" w:ascii="宋体" w:hAnsi="宋体" w:eastAsia="宋体" w:cs="宋体"/>
          <w:color w:val="auto"/>
          <w:sz w:val="24"/>
          <w:szCs w:val="24"/>
          <w:vertAlign w:val="subscript"/>
          <w:lang w:val="en-US"/>
        </w:rPr>
      </w:pPr>
      <w:r>
        <w:rPr>
          <w:rFonts w:hint="eastAsia" w:ascii="宋体" w:hAnsi="宋体" w:eastAsia="宋体" w:cs="宋体"/>
          <w:color w:val="auto"/>
          <w:kern w:val="2"/>
          <w:sz w:val="24"/>
          <w:szCs w:val="24"/>
          <w:lang w:val="en-US" w:eastAsia="zh-CN" w:bidi="ar"/>
        </w:rPr>
        <w:t xml:space="preserve">               </w:t>
      </w:r>
      <w:r>
        <w:rPr>
          <w:rFonts w:hint="eastAsia" w:ascii="宋体" w:hAnsi="宋体" w:eastAsia="宋体" w:cs="宋体"/>
          <w:color w:val="auto"/>
          <w:kern w:val="2"/>
          <w:sz w:val="24"/>
          <w:szCs w:val="24"/>
          <w:vertAlign w:val="subscript"/>
          <w:lang w:val="en-US" w:eastAsia="zh-CN" w:bidi="ar"/>
        </w:rPr>
        <w:t>n</w:t>
      </w:r>
    </w:p>
    <w:p>
      <w:pPr>
        <w:keepNext w:val="0"/>
        <w:keepLines w:val="0"/>
        <w:widowControl w:val="0"/>
        <w:suppressLineNumbers w:val="0"/>
        <w:spacing w:before="0" w:beforeAutospacing="0" w:after="0" w:afterAutospacing="0"/>
        <w:ind w:left="0" w:right="0" w:firstLine="480" w:firstLineChars="200"/>
        <w:jc w:val="left"/>
        <w:rPr>
          <w:rFonts w:hint="eastAsia" w:ascii="宋体" w:hAnsi="宋体" w:eastAsia="宋体" w:cs="宋体"/>
          <w:color w:val="auto"/>
          <w:sz w:val="24"/>
          <w:szCs w:val="24"/>
          <w:lang w:val="en-US"/>
        </w:rPr>
      </w:pPr>
      <w:r>
        <w:rPr>
          <w:rFonts w:hint="eastAsia" w:ascii="宋体" w:hAnsi="宋体" w:eastAsia="宋体" w:cs="宋体"/>
          <w:color w:val="auto"/>
          <w:kern w:val="2"/>
          <w:sz w:val="24"/>
          <w:szCs w:val="24"/>
          <w:lang w:val="en-US" w:eastAsia="zh-CN" w:bidi="ar"/>
        </w:rPr>
        <w:t>计算公式：PF= ∑I</w:t>
      </w:r>
      <w:r>
        <w:rPr>
          <w:rFonts w:hint="eastAsia" w:ascii="宋体" w:hAnsi="宋体" w:eastAsia="宋体" w:cs="宋体"/>
          <w:color w:val="auto"/>
          <w:kern w:val="2"/>
          <w:sz w:val="24"/>
          <w:szCs w:val="24"/>
          <w:vertAlign w:val="subscript"/>
          <w:lang w:val="en-US" w:eastAsia="zh-CN" w:bidi="ar"/>
        </w:rPr>
        <w:t>t</w:t>
      </w:r>
      <w:r>
        <w:rPr>
          <w:rFonts w:hint="eastAsia" w:ascii="宋体" w:hAnsi="宋体" w:eastAsia="宋体" w:cs="宋体"/>
          <w:color w:val="auto"/>
          <w:kern w:val="2"/>
          <w:sz w:val="24"/>
          <w:szCs w:val="24"/>
          <w:lang w:val="en-US" w:eastAsia="zh-CN" w:bidi="ar"/>
        </w:rPr>
        <w:t>[（1+f）</w:t>
      </w:r>
      <w:r>
        <w:rPr>
          <w:rFonts w:hint="eastAsia" w:ascii="宋体" w:hAnsi="宋体" w:eastAsia="宋体" w:cs="宋体"/>
          <w:color w:val="auto"/>
          <w:kern w:val="2"/>
          <w:sz w:val="24"/>
          <w:szCs w:val="24"/>
          <w:vertAlign w:val="superscript"/>
          <w:lang w:val="en-US" w:eastAsia="zh-CN" w:bidi="ar"/>
        </w:rPr>
        <w:t>m</w:t>
      </w:r>
      <w:r>
        <w:rPr>
          <w:rFonts w:hint="eastAsia" w:ascii="宋体" w:hAnsi="宋体" w:eastAsia="宋体" w:cs="宋体"/>
          <w:color w:val="auto"/>
          <w:kern w:val="2"/>
          <w:sz w:val="24"/>
          <w:szCs w:val="24"/>
          <w:lang w:val="en-US" w:eastAsia="zh-CN" w:bidi="ar"/>
        </w:rPr>
        <w:t>（1+f）</w:t>
      </w:r>
      <w:r>
        <w:rPr>
          <w:rFonts w:hint="eastAsia" w:ascii="宋体" w:hAnsi="宋体" w:eastAsia="宋体" w:cs="宋体"/>
          <w:color w:val="auto"/>
          <w:kern w:val="2"/>
          <w:sz w:val="24"/>
          <w:szCs w:val="24"/>
          <w:vertAlign w:val="superscript"/>
          <w:lang w:val="en-US" w:eastAsia="zh-CN" w:bidi="ar"/>
        </w:rPr>
        <w:t>0.5</w:t>
      </w:r>
      <w:r>
        <w:rPr>
          <w:rFonts w:hint="eastAsia" w:ascii="宋体" w:hAnsi="宋体" w:eastAsia="宋体" w:cs="宋体"/>
          <w:color w:val="auto"/>
          <w:kern w:val="2"/>
          <w:sz w:val="24"/>
          <w:szCs w:val="24"/>
          <w:lang w:val="en-US" w:eastAsia="zh-CN" w:bidi="ar"/>
        </w:rPr>
        <w:t>（1+f）</w:t>
      </w:r>
      <w:r>
        <w:rPr>
          <w:rFonts w:hint="eastAsia" w:ascii="宋体" w:hAnsi="宋体" w:eastAsia="宋体" w:cs="宋体"/>
          <w:color w:val="auto"/>
          <w:kern w:val="2"/>
          <w:sz w:val="24"/>
          <w:szCs w:val="24"/>
          <w:vertAlign w:val="superscript"/>
          <w:lang w:val="en-US" w:eastAsia="zh-CN" w:bidi="ar"/>
        </w:rPr>
        <w:t>t-1</w:t>
      </w:r>
      <w:r>
        <w:rPr>
          <w:rFonts w:hint="eastAsia" w:ascii="宋体" w:hAnsi="宋体" w:eastAsia="宋体" w:cs="宋体"/>
          <w:color w:val="auto"/>
          <w:kern w:val="2"/>
          <w:sz w:val="24"/>
          <w:szCs w:val="24"/>
          <w:lang w:val="en-US" w:eastAsia="zh-CN" w:bidi="ar"/>
        </w:rPr>
        <w:t>-1]</w:t>
      </w:r>
    </w:p>
    <w:p>
      <w:pPr>
        <w:keepNext w:val="0"/>
        <w:keepLines w:val="0"/>
        <w:widowControl w:val="0"/>
        <w:suppressLineNumbers w:val="0"/>
        <w:spacing w:before="0" w:beforeAutospacing="0" w:after="0" w:afterAutospacing="0"/>
        <w:ind w:left="72" w:leftChars="30" w:right="0" w:firstLine="480" w:firstLineChars="200"/>
        <w:jc w:val="left"/>
        <w:rPr>
          <w:rFonts w:hint="eastAsia" w:ascii="宋体" w:hAnsi="宋体" w:eastAsia="宋体" w:cs="宋体"/>
          <w:color w:val="auto"/>
          <w:sz w:val="24"/>
          <w:szCs w:val="24"/>
          <w:vertAlign w:val="superscript"/>
          <w:lang w:val="en-US"/>
        </w:rPr>
      </w:pPr>
      <w:r>
        <w:rPr>
          <w:rFonts w:hint="eastAsia" w:ascii="宋体" w:hAnsi="宋体" w:eastAsia="宋体" w:cs="宋体"/>
          <w:color w:val="auto"/>
          <w:kern w:val="2"/>
          <w:sz w:val="24"/>
          <w:szCs w:val="24"/>
          <w:lang w:val="en-US" w:eastAsia="zh-CN" w:bidi="ar"/>
        </w:rPr>
        <w:t xml:space="preserve">              </w:t>
      </w:r>
      <w:r>
        <w:rPr>
          <w:rFonts w:hint="eastAsia" w:ascii="宋体" w:hAnsi="宋体" w:eastAsia="宋体" w:cs="宋体"/>
          <w:color w:val="auto"/>
          <w:kern w:val="2"/>
          <w:sz w:val="24"/>
          <w:szCs w:val="24"/>
          <w:vertAlign w:val="superscript"/>
          <w:lang w:val="en-US" w:eastAsia="zh-CN" w:bidi="ar"/>
        </w:rPr>
        <w:t>t=1</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auto"/>
          <w:sz w:val="24"/>
          <w:szCs w:val="24"/>
          <w:lang w:val="en-US"/>
        </w:rPr>
      </w:pPr>
      <w:r>
        <w:rPr>
          <w:rFonts w:hint="eastAsia" w:ascii="宋体" w:hAnsi="宋体" w:eastAsia="宋体" w:cs="宋体"/>
          <w:color w:val="auto"/>
          <w:kern w:val="2"/>
          <w:sz w:val="24"/>
          <w:szCs w:val="24"/>
          <w:lang w:val="en-US" w:eastAsia="zh-CN" w:bidi="ar"/>
        </w:rPr>
        <w:t>式中：PF—价差预备费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auto"/>
          <w:sz w:val="24"/>
          <w:szCs w:val="24"/>
          <w:lang w:val="en-US"/>
        </w:rPr>
      </w:pPr>
      <w:r>
        <w:rPr>
          <w:rFonts w:hint="eastAsia" w:ascii="宋体" w:hAnsi="宋体" w:eastAsia="宋体" w:cs="宋体"/>
          <w:color w:val="auto"/>
          <w:kern w:val="2"/>
          <w:sz w:val="24"/>
          <w:szCs w:val="24"/>
          <w:lang w:val="en-US" w:eastAsia="zh-CN" w:bidi="ar"/>
        </w:rPr>
        <w:t xml:space="preserve">       n—建设期年份数</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auto"/>
          <w:sz w:val="24"/>
          <w:szCs w:val="24"/>
          <w:lang w:val="en-US"/>
        </w:rPr>
      </w:pPr>
      <w:r>
        <w:rPr>
          <w:rFonts w:hint="eastAsia" w:ascii="宋体" w:hAnsi="宋体" w:eastAsia="宋体" w:cs="宋体"/>
          <w:color w:val="auto"/>
          <w:kern w:val="2"/>
          <w:sz w:val="24"/>
          <w:szCs w:val="24"/>
          <w:lang w:val="en-US" w:eastAsia="zh-CN" w:bidi="ar"/>
        </w:rPr>
        <w:t xml:space="preserve">       I</w:t>
      </w:r>
      <w:r>
        <w:rPr>
          <w:rFonts w:hint="eastAsia" w:ascii="宋体" w:hAnsi="宋体" w:eastAsia="宋体" w:cs="宋体"/>
          <w:color w:val="auto"/>
          <w:kern w:val="2"/>
          <w:sz w:val="24"/>
          <w:szCs w:val="24"/>
          <w:vertAlign w:val="subscript"/>
          <w:lang w:val="en-US" w:eastAsia="zh-CN" w:bidi="ar"/>
        </w:rPr>
        <w:t>t</w:t>
      </w:r>
      <w:r>
        <w:rPr>
          <w:rFonts w:hint="eastAsia" w:ascii="宋体" w:hAnsi="宋体" w:eastAsia="宋体" w:cs="宋体"/>
          <w:color w:val="auto"/>
          <w:kern w:val="2"/>
          <w:sz w:val="24"/>
          <w:szCs w:val="24"/>
          <w:lang w:val="en-US" w:eastAsia="zh-CN" w:bidi="ar"/>
        </w:rPr>
        <w:t>—建设期中第t年的投资计划额，即第t年的静态投资计划额</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auto"/>
          <w:sz w:val="24"/>
          <w:szCs w:val="24"/>
          <w:lang w:val="en-US"/>
        </w:rPr>
      </w:pPr>
      <w:r>
        <w:rPr>
          <w:rFonts w:hint="eastAsia" w:ascii="宋体" w:hAnsi="宋体" w:eastAsia="宋体" w:cs="宋体"/>
          <w:color w:val="auto"/>
          <w:kern w:val="2"/>
          <w:sz w:val="24"/>
          <w:szCs w:val="24"/>
          <w:lang w:val="en-US" w:eastAsia="zh-CN" w:bidi="ar"/>
        </w:rPr>
        <w:t xml:space="preserve">       f—年涨价率（按6%计）</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auto"/>
        </w:rPr>
      </w:pPr>
      <w:r>
        <w:rPr>
          <w:rFonts w:hint="eastAsia" w:ascii="宋体" w:hAnsi="宋体" w:eastAsia="宋体" w:cs="宋体"/>
          <w:color w:val="auto"/>
          <w:kern w:val="2"/>
          <w:sz w:val="24"/>
          <w:szCs w:val="24"/>
          <w:lang w:val="en-US" w:eastAsia="zh-CN" w:bidi="ar"/>
        </w:rPr>
        <w:t xml:space="preserve">       m—建设前期年限（从方案编制估算至开工建设，本项目建设前期年限已计入总规划年限）。</w:t>
      </w:r>
    </w:p>
    <w:bookmarkEnd w:id="48"/>
    <w:p>
      <w:pPr>
        <w:keepNext w:val="0"/>
        <w:keepLines w:val="0"/>
        <w:pageBreakBefore w:val="0"/>
        <w:widowControl/>
        <w:numPr>
          <w:ilvl w:val="0"/>
          <w:numId w:val="0"/>
        </w:numPr>
        <w:kinsoku/>
        <w:wordWrap/>
        <w:overflowPunct/>
        <w:topLinePunct w:val="0"/>
        <w:autoSpaceDE/>
        <w:autoSpaceDN/>
        <w:bidi w:val="0"/>
        <w:adjustRightInd w:val="0"/>
        <w:snapToGrid w:val="0"/>
        <w:spacing w:before="313" w:beforeLines="100" w:line="360" w:lineRule="auto"/>
        <w:jc w:val="both"/>
        <w:textAlignment w:val="auto"/>
        <w:outlineLvl w:val="1"/>
        <w:rPr>
          <w:rFonts w:hint="eastAsia" w:ascii="宋体" w:hAnsi="宋体" w:eastAsia="宋体" w:cs="宋体"/>
          <w:b/>
          <w:bCs/>
          <w:color w:val="auto"/>
          <w:sz w:val="28"/>
          <w:szCs w:val="28"/>
          <w:lang w:val="zh-CN" w:eastAsia="zh-CN"/>
        </w:rPr>
      </w:pPr>
      <w:bookmarkStart w:id="49" w:name="_Toc29728"/>
      <w:bookmarkStart w:id="50" w:name="_Toc18766"/>
      <w:bookmarkStart w:id="51" w:name="_Toc8167"/>
      <w:bookmarkStart w:id="52" w:name="_Toc4382"/>
      <w:bookmarkStart w:id="53" w:name="_Toc18269"/>
      <w:bookmarkStart w:id="54" w:name="_Toc25649"/>
      <w:r>
        <w:rPr>
          <w:rFonts w:hint="eastAsia" w:ascii="宋体" w:hAnsi="宋体" w:eastAsia="宋体" w:cs="宋体"/>
          <w:b/>
          <w:bCs/>
          <w:color w:val="auto"/>
          <w:sz w:val="28"/>
          <w:szCs w:val="28"/>
          <w:lang w:val="zh-CN" w:eastAsia="zh-CN"/>
        </w:rPr>
        <w:t>二、主要工程量</w:t>
      </w:r>
      <w:bookmarkEnd w:id="49"/>
      <w:bookmarkEnd w:id="50"/>
      <w:bookmarkEnd w:id="51"/>
      <w:bookmarkEnd w:id="52"/>
      <w:bookmarkEnd w:id="53"/>
      <w:bookmarkEnd w:id="54"/>
    </w:p>
    <w:p>
      <w:pPr>
        <w:keepNext w:val="0"/>
        <w:keepLines w:val="0"/>
        <w:pageBreakBefore w:val="0"/>
        <w:widowControl w:val="0"/>
        <w:tabs>
          <w:tab w:val="left" w:pos="7235"/>
        </w:tabs>
        <w:kinsoku/>
        <w:wordWrap/>
        <w:overflowPunct/>
        <w:topLinePunct w:val="0"/>
        <w:autoSpaceDE/>
        <w:autoSpaceDN/>
        <w:bidi w:val="0"/>
        <w:adjustRightInd w:val="0"/>
        <w:snapToGrid w:val="0"/>
        <w:spacing w:line="360" w:lineRule="auto"/>
        <w:ind w:right="-518" w:rightChars="-216" w:firstLine="0" w:firstLineChars="0"/>
        <w:jc w:val="center"/>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表</w:t>
      </w:r>
      <w:r>
        <w:rPr>
          <w:rFonts w:hint="eastAsia" w:ascii="宋体" w:hAnsi="宋体" w:eastAsia="宋体" w:cs="宋体"/>
          <w:b w:val="0"/>
          <w:bCs/>
          <w:color w:val="auto"/>
          <w:sz w:val="24"/>
          <w:szCs w:val="24"/>
          <w:highlight w:val="none"/>
          <w:lang w:val="en-US" w:eastAsia="zh-CN"/>
        </w:rPr>
        <w:t xml:space="preserve">6-11 </w:t>
      </w:r>
      <w:r>
        <w:rPr>
          <w:rFonts w:hint="eastAsia" w:ascii="宋体" w:hAnsi="宋体" w:eastAsia="宋体" w:cs="宋体"/>
          <w:b w:val="0"/>
          <w:bCs/>
          <w:color w:val="auto"/>
          <w:sz w:val="24"/>
          <w:szCs w:val="24"/>
          <w:highlight w:val="none"/>
        </w:rPr>
        <w:t xml:space="preserve"> 治理工程量汇总表</w:t>
      </w:r>
    </w:p>
    <w:tbl>
      <w:tblPr>
        <w:tblStyle w:val="87"/>
        <w:tblW w:w="8442" w:type="dxa"/>
        <w:jc w:val="center"/>
        <w:shd w:val="clear" w:color="auto" w:fill="auto"/>
        <w:tblLayout w:type="autofit"/>
        <w:tblCellMar>
          <w:top w:w="0" w:type="dxa"/>
          <w:left w:w="108" w:type="dxa"/>
          <w:bottom w:w="0" w:type="dxa"/>
          <w:right w:w="108" w:type="dxa"/>
        </w:tblCellMar>
      </w:tblPr>
      <w:tblGrid>
        <w:gridCol w:w="1436"/>
        <w:gridCol w:w="2809"/>
        <w:gridCol w:w="1785"/>
        <w:gridCol w:w="2412"/>
      </w:tblGrid>
      <w:tr>
        <w:tblPrEx>
          <w:shd w:val="clear" w:color="auto" w:fill="auto"/>
          <w:tblCellMar>
            <w:top w:w="0" w:type="dxa"/>
            <w:left w:w="108" w:type="dxa"/>
            <w:bottom w:w="0" w:type="dxa"/>
            <w:right w:w="108" w:type="dxa"/>
          </w:tblCellMar>
        </w:tblPrEx>
        <w:trPr>
          <w:trHeight w:val="340" w:hRule="atLeast"/>
          <w:jc w:val="center"/>
        </w:trPr>
        <w:tc>
          <w:tcPr>
            <w:tcW w:w="1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序号</w:t>
            </w:r>
          </w:p>
        </w:tc>
        <w:tc>
          <w:tcPr>
            <w:tcW w:w="2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工程项目</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计量单位</w:t>
            </w:r>
          </w:p>
        </w:tc>
        <w:tc>
          <w:tcPr>
            <w:tcW w:w="24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工程量</w:t>
            </w:r>
          </w:p>
        </w:tc>
      </w:tr>
      <w:tr>
        <w:tblPrEx>
          <w:shd w:val="clear" w:color="auto" w:fill="auto"/>
          <w:tblCellMar>
            <w:top w:w="0" w:type="dxa"/>
            <w:left w:w="108" w:type="dxa"/>
            <w:bottom w:w="0" w:type="dxa"/>
            <w:right w:w="108" w:type="dxa"/>
          </w:tblCellMar>
        </w:tblPrEx>
        <w:trPr>
          <w:trHeight w:val="340" w:hRule="atLeast"/>
          <w:jc w:val="center"/>
        </w:trPr>
        <w:tc>
          <w:tcPr>
            <w:tcW w:w="1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一</w:t>
            </w:r>
          </w:p>
        </w:tc>
        <w:tc>
          <w:tcPr>
            <w:tcW w:w="2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textAlignment w:val="center"/>
              <w:rPr>
                <w:rFonts w:hint="eastAsia" w:ascii="宋体" w:hAnsi="宋体" w:eastAsia="宋体" w:cs="宋体"/>
                <w:b/>
                <w:bCs/>
                <w:i w:val="0"/>
                <w:iCs w:val="0"/>
                <w:color w:val="auto"/>
                <w:sz w:val="21"/>
                <w:szCs w:val="21"/>
                <w:highlight w:val="none"/>
                <w:u w:val="none"/>
                <w:lang w:val="en-US"/>
              </w:rPr>
            </w:pPr>
            <w:r>
              <w:rPr>
                <w:rFonts w:hint="eastAsia" w:ascii="宋体" w:hAnsi="宋体" w:eastAsia="宋体" w:cs="宋体"/>
                <w:b/>
                <w:bCs/>
                <w:i w:val="0"/>
                <w:iCs w:val="0"/>
                <w:color w:val="auto"/>
                <w:kern w:val="0"/>
                <w:sz w:val="21"/>
                <w:szCs w:val="21"/>
                <w:highlight w:val="none"/>
                <w:u w:val="none"/>
                <w:lang w:val="en-US" w:eastAsia="zh-CN" w:bidi="ar"/>
              </w:rPr>
              <w:t>监测管护工程</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i w:val="0"/>
                <w:iCs w:val="0"/>
                <w:color w:val="auto"/>
                <w:sz w:val="21"/>
                <w:szCs w:val="21"/>
                <w:highlight w:val="none"/>
                <w:u w:val="none"/>
              </w:rPr>
            </w:pPr>
          </w:p>
        </w:tc>
        <w:tc>
          <w:tcPr>
            <w:tcW w:w="24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b/>
                <w:bCs/>
                <w:i w:val="0"/>
                <w:iCs w:val="0"/>
                <w:color w:val="auto"/>
                <w:sz w:val="21"/>
                <w:szCs w:val="21"/>
                <w:highlight w:val="none"/>
                <w:u w:val="none"/>
              </w:rPr>
            </w:pPr>
          </w:p>
        </w:tc>
      </w:tr>
      <w:tr>
        <w:tblPrEx>
          <w:shd w:val="clear" w:color="auto" w:fill="auto"/>
          <w:tblCellMar>
            <w:top w:w="0" w:type="dxa"/>
            <w:left w:w="108" w:type="dxa"/>
            <w:bottom w:w="0" w:type="dxa"/>
            <w:right w:w="108" w:type="dxa"/>
          </w:tblCellMar>
        </w:tblPrEx>
        <w:trPr>
          <w:trHeight w:val="340" w:hRule="atLeast"/>
          <w:jc w:val="center"/>
        </w:trPr>
        <w:tc>
          <w:tcPr>
            <w:tcW w:w="1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1</w:t>
            </w:r>
          </w:p>
        </w:tc>
        <w:tc>
          <w:tcPr>
            <w:tcW w:w="2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地形地貌景观监测</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次</w:t>
            </w:r>
          </w:p>
        </w:tc>
        <w:tc>
          <w:tcPr>
            <w:tcW w:w="24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12</w:t>
            </w:r>
          </w:p>
        </w:tc>
      </w:tr>
      <w:tr>
        <w:tblPrEx>
          <w:shd w:val="clear" w:color="auto" w:fill="auto"/>
          <w:tblCellMar>
            <w:top w:w="0" w:type="dxa"/>
            <w:left w:w="108" w:type="dxa"/>
            <w:bottom w:w="0" w:type="dxa"/>
            <w:right w:w="108" w:type="dxa"/>
          </w:tblCellMar>
        </w:tblPrEx>
        <w:trPr>
          <w:trHeight w:val="340" w:hRule="atLeast"/>
          <w:jc w:val="center"/>
        </w:trPr>
        <w:tc>
          <w:tcPr>
            <w:tcW w:w="14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2</w:t>
            </w:r>
          </w:p>
        </w:tc>
        <w:tc>
          <w:tcPr>
            <w:tcW w:w="28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植被管护</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次</w:t>
            </w:r>
          </w:p>
        </w:tc>
        <w:tc>
          <w:tcPr>
            <w:tcW w:w="24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2</w:t>
            </w:r>
          </w:p>
        </w:tc>
      </w:tr>
    </w:tbl>
    <w:p>
      <w:pPr>
        <w:keepNext w:val="0"/>
        <w:keepLines w:val="0"/>
        <w:pageBreakBefore w:val="0"/>
        <w:widowControl/>
        <w:numPr>
          <w:ilvl w:val="0"/>
          <w:numId w:val="0"/>
        </w:numPr>
        <w:kinsoku/>
        <w:wordWrap/>
        <w:overflowPunct/>
        <w:topLinePunct w:val="0"/>
        <w:autoSpaceDE/>
        <w:autoSpaceDN/>
        <w:bidi w:val="0"/>
        <w:adjustRightInd w:val="0"/>
        <w:snapToGrid w:val="0"/>
        <w:spacing w:before="161" w:beforeLines="50" w:line="360" w:lineRule="auto"/>
        <w:ind w:leftChars="0"/>
        <w:jc w:val="both"/>
        <w:textAlignment w:val="auto"/>
        <w:outlineLvl w:val="1"/>
        <w:rPr>
          <w:rFonts w:hint="eastAsia" w:ascii="宋体" w:hAnsi="宋体" w:eastAsia="宋体" w:cs="宋体"/>
          <w:b/>
          <w:bCs/>
          <w:color w:val="auto"/>
          <w:sz w:val="32"/>
          <w:szCs w:val="32"/>
          <w:lang w:val="en-US" w:eastAsia="zh-CN"/>
        </w:rPr>
      </w:pPr>
      <w:bookmarkStart w:id="55" w:name="_Toc20535"/>
      <w:r>
        <w:rPr>
          <w:rFonts w:hint="eastAsia" w:ascii="宋体" w:hAnsi="宋体" w:eastAsia="宋体" w:cs="宋体"/>
          <w:b/>
          <w:bCs/>
          <w:color w:val="auto"/>
          <w:sz w:val="28"/>
          <w:szCs w:val="28"/>
          <w:lang w:val="en-US" w:eastAsia="zh-CN"/>
        </w:rPr>
        <w:t>三、经费估算</w:t>
      </w:r>
      <w:bookmarkEnd w:id="55"/>
    </w:p>
    <w:p>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经估算，2024年度矿山地质环境治理费用为1.20万元。工程经费估算总额和各单项工程经费估算结果如下：</w:t>
      </w:r>
    </w:p>
    <w:p>
      <w:pPr>
        <w:keepNext w:val="0"/>
        <w:keepLines w:val="0"/>
        <w:pageBreakBefore w:val="0"/>
        <w:widowControl w:val="0"/>
        <w:tabs>
          <w:tab w:val="left" w:pos="7235"/>
        </w:tabs>
        <w:kinsoku/>
        <w:wordWrap/>
        <w:overflowPunct/>
        <w:topLinePunct w:val="0"/>
        <w:autoSpaceDE/>
        <w:autoSpaceDN/>
        <w:bidi w:val="0"/>
        <w:adjustRightInd w:val="0"/>
        <w:snapToGrid w:val="0"/>
        <w:spacing w:line="360" w:lineRule="auto"/>
        <w:ind w:right="-518" w:rightChars="-216" w:firstLine="0" w:firstLineChars="0"/>
        <w:jc w:val="center"/>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表</w:t>
      </w:r>
      <w:r>
        <w:rPr>
          <w:rFonts w:hint="eastAsia" w:ascii="宋体" w:hAnsi="宋体" w:eastAsia="宋体" w:cs="宋体"/>
          <w:b w:val="0"/>
          <w:bCs/>
          <w:color w:val="auto"/>
          <w:sz w:val="24"/>
          <w:szCs w:val="24"/>
          <w:highlight w:val="none"/>
          <w:lang w:val="en-US" w:eastAsia="zh-CN"/>
        </w:rPr>
        <w:t>6-12</w:t>
      </w:r>
      <w:r>
        <w:rPr>
          <w:rFonts w:hint="eastAsia" w:ascii="宋体" w:hAnsi="宋体" w:eastAsia="宋体" w:cs="宋体"/>
          <w:b w:val="0"/>
          <w:bCs/>
          <w:color w:val="auto"/>
          <w:sz w:val="24"/>
          <w:szCs w:val="24"/>
          <w:highlight w:val="none"/>
        </w:rPr>
        <w:t xml:space="preserve">  矿山地质环境治理及土地复垦工程经费预算总表</w:t>
      </w:r>
    </w:p>
    <w:tbl>
      <w:tblPr>
        <w:tblStyle w:val="87"/>
        <w:tblW w:w="494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98"/>
        <w:gridCol w:w="1950"/>
        <w:gridCol w:w="2387"/>
        <w:gridCol w:w="289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7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序号</w:t>
            </w:r>
          </w:p>
        </w:tc>
        <w:tc>
          <w:tcPr>
            <w:tcW w:w="115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工程或费用名称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预算金额（万元）</w:t>
            </w:r>
          </w:p>
        </w:tc>
        <w:tc>
          <w:tcPr>
            <w:tcW w:w="171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各费用占总费用的比例（%）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b w:val="0"/>
                <w:bCs w:val="0"/>
                <w:color w:val="auto"/>
                <w:sz w:val="21"/>
                <w:szCs w:val="21"/>
                <w:highlight w:val="none"/>
                <w:lang w:val="en-US" w:eastAsia="zh-CN"/>
              </w:rPr>
            </w:pPr>
          </w:p>
        </w:tc>
        <w:tc>
          <w:tcPr>
            <w:tcW w:w="115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w:t>
            </w:r>
          </w:p>
        </w:tc>
        <w:tc>
          <w:tcPr>
            <w:tcW w:w="171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一</w:t>
            </w:r>
          </w:p>
        </w:tc>
        <w:tc>
          <w:tcPr>
            <w:tcW w:w="115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工程施工费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0</w:t>
            </w:r>
          </w:p>
        </w:tc>
        <w:tc>
          <w:tcPr>
            <w:tcW w:w="171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二</w:t>
            </w:r>
          </w:p>
        </w:tc>
        <w:tc>
          <w:tcPr>
            <w:tcW w:w="115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其他费用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0</w:t>
            </w:r>
          </w:p>
        </w:tc>
        <w:tc>
          <w:tcPr>
            <w:tcW w:w="171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三</w:t>
            </w:r>
          </w:p>
        </w:tc>
        <w:tc>
          <w:tcPr>
            <w:tcW w:w="115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不可预见费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0</w:t>
            </w:r>
          </w:p>
        </w:tc>
        <w:tc>
          <w:tcPr>
            <w:tcW w:w="171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四</w:t>
            </w:r>
          </w:p>
        </w:tc>
        <w:tc>
          <w:tcPr>
            <w:tcW w:w="115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监测管护费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1.20</w:t>
            </w:r>
          </w:p>
        </w:tc>
        <w:tc>
          <w:tcPr>
            <w:tcW w:w="171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总  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center"/>
              <w:rPr>
                <w:rFonts w:hint="eastAsia" w:ascii="宋体" w:hAnsi="宋体" w:eastAsia="宋体" w:cs="宋体"/>
                <w:b/>
                <w:bCs/>
                <w:i w:val="0"/>
                <w:iCs w:val="0"/>
                <w:color w:val="auto"/>
                <w:kern w:val="2"/>
                <w:sz w:val="22"/>
                <w:szCs w:val="22"/>
                <w:u w:val="none"/>
                <w:lang w:val="en-US" w:eastAsia="zh-CN" w:bidi="ar-SA"/>
              </w:rPr>
            </w:pPr>
            <w:r>
              <w:rPr>
                <w:rFonts w:hint="eastAsia" w:ascii="宋体" w:hAnsi="宋体" w:eastAsia="宋体" w:cs="宋体"/>
                <w:b/>
                <w:bCs/>
                <w:color w:val="auto"/>
                <w:sz w:val="21"/>
                <w:szCs w:val="21"/>
                <w:highlight w:val="none"/>
                <w:lang w:val="en-US" w:eastAsia="zh-CN"/>
              </w:rPr>
              <w:t>1.20</w:t>
            </w:r>
          </w:p>
        </w:tc>
        <w:tc>
          <w:tcPr>
            <w:tcW w:w="171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wordWrap/>
              <w:spacing w:before="0" w:beforeAutospacing="0" w:after="0" w:afterAutospacing="0" w:line="240" w:lineRule="auto"/>
              <w:ind w:left="0" w:right="0" w:firstLine="0" w:firstLineChars="0"/>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 xml:space="preserve">100.00 </w:t>
            </w:r>
          </w:p>
        </w:tc>
      </w:tr>
    </w:tbl>
    <w:p>
      <w:pPr>
        <w:keepNext w:val="0"/>
        <w:keepLines w:val="0"/>
        <w:pageBreakBefore w:val="0"/>
        <w:widowControl w:val="0"/>
        <w:tabs>
          <w:tab w:val="left" w:pos="7235"/>
        </w:tabs>
        <w:kinsoku/>
        <w:wordWrap/>
        <w:overflowPunct/>
        <w:topLinePunct w:val="0"/>
        <w:autoSpaceDE/>
        <w:autoSpaceDN/>
        <w:bidi w:val="0"/>
        <w:adjustRightInd w:val="0"/>
        <w:snapToGrid w:val="0"/>
        <w:spacing w:before="161" w:beforeLines="50" w:line="360" w:lineRule="auto"/>
        <w:ind w:right="-518" w:rightChars="-216" w:firstLine="0" w:firstLineChars="0"/>
        <w:jc w:val="center"/>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表6-13   监测费计算表</w:t>
      </w:r>
    </w:p>
    <w:tbl>
      <w:tblPr>
        <w:tblStyle w:val="87"/>
        <w:tblW w:w="8438" w:type="dxa"/>
        <w:jc w:val="center"/>
        <w:tblLayout w:type="fixed"/>
        <w:tblCellMar>
          <w:top w:w="0" w:type="dxa"/>
          <w:left w:w="108" w:type="dxa"/>
          <w:bottom w:w="0" w:type="dxa"/>
          <w:right w:w="108" w:type="dxa"/>
        </w:tblCellMar>
      </w:tblPr>
      <w:tblGrid>
        <w:gridCol w:w="1187"/>
        <w:gridCol w:w="1704"/>
        <w:gridCol w:w="1788"/>
        <w:gridCol w:w="1762"/>
        <w:gridCol w:w="1997"/>
      </w:tblGrid>
      <w:tr>
        <w:tblPrEx>
          <w:tblCellMar>
            <w:top w:w="0" w:type="dxa"/>
            <w:left w:w="108" w:type="dxa"/>
            <w:bottom w:w="0" w:type="dxa"/>
            <w:right w:w="108" w:type="dxa"/>
          </w:tblCellMar>
        </w:tblPrEx>
        <w:trPr>
          <w:trHeight w:val="340" w:hRule="atLeast"/>
          <w:jc w:val="center"/>
        </w:trPr>
        <w:tc>
          <w:tcPr>
            <w:tcW w:w="1187" w:type="dxa"/>
            <w:vMerge w:val="restart"/>
            <w:tcBorders>
              <w:top w:val="single" w:color="auto" w:sz="4" w:space="0"/>
              <w:left w:val="single" w:color="auto" w:sz="4" w:space="0"/>
              <w:bottom w:val="single" w:color="auto" w:sz="4" w:space="0"/>
              <w:right w:val="single" w:color="auto" w:sz="4" w:space="0"/>
            </w:tcBorders>
            <w:noWrap/>
            <w:vAlign w:val="center"/>
          </w:tcPr>
          <w:p>
            <w:pPr>
              <w:widowControl/>
              <w:spacing w:line="240" w:lineRule="auto"/>
              <w:ind w:firstLine="0" w:firstLineChars="0"/>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序号</w:t>
            </w:r>
          </w:p>
        </w:tc>
        <w:tc>
          <w:tcPr>
            <w:tcW w:w="1704" w:type="dxa"/>
            <w:tcBorders>
              <w:top w:val="single" w:color="auto" w:sz="4" w:space="0"/>
              <w:left w:val="nil"/>
              <w:bottom w:val="single" w:color="auto" w:sz="4" w:space="0"/>
              <w:right w:val="single" w:color="auto" w:sz="4" w:space="0"/>
            </w:tcBorders>
            <w:noWrap/>
            <w:vAlign w:val="center"/>
          </w:tcPr>
          <w:p>
            <w:pPr>
              <w:widowControl/>
              <w:spacing w:line="240" w:lineRule="auto"/>
              <w:ind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单项名称</w:t>
            </w:r>
          </w:p>
        </w:tc>
        <w:tc>
          <w:tcPr>
            <w:tcW w:w="1788" w:type="dxa"/>
            <w:tcBorders>
              <w:top w:val="single" w:color="auto" w:sz="4" w:space="0"/>
              <w:left w:val="nil"/>
              <w:bottom w:val="single" w:color="auto" w:sz="4" w:space="0"/>
              <w:right w:val="single" w:color="auto" w:sz="4" w:space="0"/>
            </w:tcBorders>
            <w:noWrap/>
            <w:vAlign w:val="center"/>
          </w:tcPr>
          <w:p>
            <w:pPr>
              <w:widowControl/>
              <w:spacing w:line="240" w:lineRule="auto"/>
              <w:ind w:firstLine="0" w:firstLineChars="0"/>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单价（元）</w:t>
            </w:r>
          </w:p>
        </w:tc>
        <w:tc>
          <w:tcPr>
            <w:tcW w:w="1762" w:type="dxa"/>
            <w:tcBorders>
              <w:top w:val="single" w:color="auto" w:sz="4" w:space="0"/>
              <w:left w:val="nil"/>
              <w:bottom w:val="single" w:color="auto" w:sz="4" w:space="0"/>
              <w:right w:val="single" w:color="auto" w:sz="8" w:space="0"/>
            </w:tcBorders>
            <w:noWrap/>
            <w:vAlign w:val="center"/>
          </w:tcPr>
          <w:p>
            <w:pPr>
              <w:widowControl/>
              <w:spacing w:line="240" w:lineRule="auto"/>
              <w:ind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次数</w:t>
            </w:r>
          </w:p>
        </w:tc>
        <w:tc>
          <w:tcPr>
            <w:tcW w:w="1997" w:type="dxa"/>
            <w:tcBorders>
              <w:top w:val="single" w:color="auto" w:sz="4" w:space="0"/>
              <w:left w:val="single" w:color="auto" w:sz="8" w:space="0"/>
              <w:bottom w:val="single" w:color="auto" w:sz="4" w:space="0"/>
              <w:right w:val="single" w:color="auto" w:sz="4" w:space="0"/>
            </w:tcBorders>
            <w:noWrap w:val="0"/>
            <w:vAlign w:val="center"/>
          </w:tcPr>
          <w:p>
            <w:pPr>
              <w:widowControl/>
              <w:spacing w:line="240" w:lineRule="auto"/>
              <w:ind w:firstLine="0" w:firstLineChars="0"/>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预算金额</w:t>
            </w:r>
            <w:r>
              <w:rPr>
                <w:rFonts w:hint="eastAsia" w:ascii="宋体" w:hAnsi="宋体" w:eastAsia="宋体" w:cs="宋体"/>
                <w:color w:val="auto"/>
                <w:sz w:val="21"/>
                <w:szCs w:val="21"/>
              </w:rPr>
              <w:t>（</w:t>
            </w:r>
            <w:r>
              <w:rPr>
                <w:rFonts w:hint="eastAsia" w:ascii="宋体" w:hAnsi="宋体" w:eastAsia="宋体" w:cs="宋体"/>
                <w:color w:val="auto"/>
                <w:sz w:val="21"/>
                <w:szCs w:val="21"/>
                <w:lang w:eastAsia="zh-CN"/>
              </w:rPr>
              <w:t>万</w:t>
            </w:r>
            <w:r>
              <w:rPr>
                <w:rFonts w:hint="eastAsia" w:ascii="宋体" w:hAnsi="宋体" w:eastAsia="宋体" w:cs="宋体"/>
                <w:color w:val="auto"/>
                <w:sz w:val="21"/>
                <w:szCs w:val="21"/>
              </w:rPr>
              <w:t>元）</w:t>
            </w:r>
          </w:p>
        </w:tc>
      </w:tr>
      <w:tr>
        <w:tblPrEx>
          <w:tblCellMar>
            <w:top w:w="0" w:type="dxa"/>
            <w:left w:w="108" w:type="dxa"/>
            <w:bottom w:w="0" w:type="dxa"/>
            <w:right w:w="108" w:type="dxa"/>
          </w:tblCellMar>
        </w:tblPrEx>
        <w:trPr>
          <w:trHeight w:val="340" w:hRule="atLeast"/>
          <w:jc w:val="center"/>
        </w:trPr>
        <w:tc>
          <w:tcPr>
            <w:tcW w:w="118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adjustRightInd/>
              <w:snapToGrid/>
              <w:spacing w:line="240" w:lineRule="auto"/>
              <w:ind w:firstLine="0" w:firstLineChars="0"/>
              <w:jc w:val="left"/>
              <w:rPr>
                <w:rFonts w:hint="eastAsia" w:ascii="宋体" w:hAnsi="宋体" w:eastAsia="宋体" w:cs="宋体"/>
                <w:color w:val="auto"/>
                <w:kern w:val="0"/>
                <w:sz w:val="21"/>
                <w:szCs w:val="21"/>
              </w:rPr>
            </w:pPr>
          </w:p>
        </w:tc>
        <w:tc>
          <w:tcPr>
            <w:tcW w:w="1704" w:type="dxa"/>
            <w:tcBorders>
              <w:top w:val="nil"/>
              <w:left w:val="nil"/>
              <w:bottom w:val="single" w:color="auto" w:sz="4" w:space="0"/>
              <w:right w:val="single" w:color="auto" w:sz="4" w:space="0"/>
            </w:tcBorders>
            <w:noWrap/>
            <w:vAlign w:val="center"/>
          </w:tcPr>
          <w:p>
            <w:pPr>
              <w:widowControl/>
              <w:spacing w:line="240" w:lineRule="auto"/>
              <w:ind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w:t>
            </w:r>
          </w:p>
        </w:tc>
        <w:tc>
          <w:tcPr>
            <w:tcW w:w="1788" w:type="dxa"/>
            <w:tcBorders>
              <w:top w:val="nil"/>
              <w:left w:val="nil"/>
              <w:bottom w:val="single" w:color="auto" w:sz="4" w:space="0"/>
              <w:right w:val="single" w:color="auto" w:sz="4" w:space="0"/>
            </w:tcBorders>
            <w:noWrap/>
            <w:vAlign w:val="center"/>
          </w:tcPr>
          <w:p>
            <w:pPr>
              <w:widowControl/>
              <w:spacing w:line="240" w:lineRule="auto"/>
              <w:ind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w:t>
            </w:r>
          </w:p>
        </w:tc>
        <w:tc>
          <w:tcPr>
            <w:tcW w:w="1762" w:type="dxa"/>
            <w:tcBorders>
              <w:top w:val="nil"/>
              <w:left w:val="nil"/>
              <w:bottom w:val="single" w:color="auto" w:sz="4" w:space="0"/>
              <w:right w:val="single" w:color="auto" w:sz="8" w:space="0"/>
            </w:tcBorders>
            <w:noWrap/>
            <w:vAlign w:val="center"/>
          </w:tcPr>
          <w:p>
            <w:pPr>
              <w:widowControl/>
              <w:spacing w:line="240" w:lineRule="auto"/>
              <w:ind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(3)</w:t>
            </w:r>
          </w:p>
        </w:tc>
        <w:tc>
          <w:tcPr>
            <w:tcW w:w="1997" w:type="dxa"/>
            <w:tcBorders>
              <w:top w:val="nil"/>
              <w:left w:val="single" w:color="auto" w:sz="8" w:space="0"/>
              <w:bottom w:val="single" w:color="auto" w:sz="4" w:space="0"/>
              <w:right w:val="single" w:color="auto" w:sz="4" w:space="0"/>
            </w:tcBorders>
            <w:noWrap w:val="0"/>
            <w:vAlign w:val="center"/>
          </w:tcPr>
          <w:p>
            <w:pPr>
              <w:spacing w:line="240" w:lineRule="auto"/>
              <w:ind w:firstLine="0" w:firstLineChars="0"/>
              <w:jc w:val="center"/>
              <w:rPr>
                <w:rFonts w:hint="eastAsia" w:ascii="宋体" w:hAnsi="宋体" w:eastAsia="宋体" w:cs="宋体"/>
                <w:color w:val="auto"/>
                <w:kern w:val="0"/>
                <w:sz w:val="21"/>
                <w:szCs w:val="21"/>
              </w:rPr>
            </w:pPr>
          </w:p>
        </w:tc>
      </w:tr>
      <w:tr>
        <w:tblPrEx>
          <w:tblCellMar>
            <w:top w:w="0" w:type="dxa"/>
            <w:left w:w="108" w:type="dxa"/>
            <w:bottom w:w="0" w:type="dxa"/>
            <w:right w:w="108" w:type="dxa"/>
          </w:tblCellMar>
        </w:tblPrEx>
        <w:trPr>
          <w:trHeight w:val="340" w:hRule="atLeast"/>
          <w:jc w:val="center"/>
        </w:trPr>
        <w:tc>
          <w:tcPr>
            <w:tcW w:w="1187" w:type="dxa"/>
            <w:tcBorders>
              <w:top w:val="nil"/>
              <w:left w:val="single" w:color="auto" w:sz="4" w:space="0"/>
              <w:bottom w:val="single" w:color="auto" w:sz="4" w:space="0"/>
              <w:right w:val="single" w:color="auto" w:sz="4" w:space="0"/>
            </w:tcBorders>
            <w:noWrap/>
            <w:vAlign w:val="center"/>
          </w:tcPr>
          <w:p>
            <w:pPr>
              <w:widowControl/>
              <w:spacing w:line="240" w:lineRule="auto"/>
              <w:ind w:firstLine="0" w:firstLineChars="0"/>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w:t>
            </w:r>
          </w:p>
        </w:tc>
        <w:tc>
          <w:tcPr>
            <w:tcW w:w="1704" w:type="dxa"/>
            <w:tcBorders>
              <w:top w:val="nil"/>
              <w:left w:val="nil"/>
              <w:bottom w:val="single" w:color="auto" w:sz="4" w:space="0"/>
              <w:right w:val="single" w:color="auto" w:sz="4" w:space="0"/>
            </w:tcBorders>
            <w:noWrap/>
            <w:vAlign w:val="center"/>
          </w:tcPr>
          <w:p>
            <w:pPr>
              <w:widowControl/>
              <w:spacing w:line="240" w:lineRule="auto"/>
              <w:ind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监测费</w:t>
            </w:r>
          </w:p>
        </w:tc>
        <w:tc>
          <w:tcPr>
            <w:tcW w:w="1788" w:type="dxa"/>
            <w:tcBorders>
              <w:top w:val="nil"/>
              <w:left w:val="nil"/>
              <w:bottom w:val="single" w:color="auto" w:sz="4" w:space="0"/>
              <w:right w:val="single" w:color="auto" w:sz="4" w:space="0"/>
            </w:tcBorders>
            <w:noWrap/>
            <w:vAlign w:val="center"/>
          </w:tcPr>
          <w:p>
            <w:pPr>
              <w:spacing w:line="240" w:lineRule="auto"/>
              <w:ind w:firstLine="0" w:firstLineChars="0"/>
              <w:jc w:val="center"/>
              <w:rPr>
                <w:rFonts w:hint="eastAsia" w:ascii="宋体" w:hAnsi="宋体" w:eastAsia="宋体" w:cs="宋体"/>
                <w:bCs/>
                <w:color w:val="auto"/>
                <w:sz w:val="21"/>
                <w:szCs w:val="21"/>
                <w:lang w:val="en-US" w:eastAsia="zh-CN"/>
              </w:rPr>
            </w:pPr>
            <w:r>
              <w:rPr>
                <w:rFonts w:hint="eastAsia" w:ascii="宋体" w:hAnsi="宋体" w:eastAsia="宋体" w:cs="宋体"/>
                <w:color w:val="auto"/>
                <w:sz w:val="21"/>
                <w:szCs w:val="21"/>
                <w:lang w:val="en-US" w:eastAsia="zh-CN"/>
              </w:rPr>
              <w:t>600</w:t>
            </w:r>
          </w:p>
        </w:tc>
        <w:tc>
          <w:tcPr>
            <w:tcW w:w="1762" w:type="dxa"/>
            <w:tcBorders>
              <w:top w:val="nil"/>
              <w:left w:val="nil"/>
              <w:bottom w:val="single" w:color="auto" w:sz="4" w:space="0"/>
              <w:right w:val="single" w:color="auto" w:sz="8" w:space="0"/>
            </w:tcBorders>
            <w:noWrap/>
            <w:vAlign w:val="center"/>
          </w:tcPr>
          <w:p>
            <w:pPr>
              <w:spacing w:line="240" w:lineRule="auto"/>
              <w:ind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1</w:t>
            </w:r>
            <w:r>
              <w:rPr>
                <w:rFonts w:hint="eastAsia" w:ascii="宋体" w:hAnsi="宋体" w:eastAsia="宋体" w:cs="宋体"/>
                <w:color w:val="auto"/>
                <w:sz w:val="21"/>
                <w:szCs w:val="21"/>
                <w:lang w:val="en-US" w:eastAsia="zh-CN"/>
              </w:rPr>
              <w:t>2</w:t>
            </w:r>
          </w:p>
        </w:tc>
        <w:tc>
          <w:tcPr>
            <w:tcW w:w="1997" w:type="dxa"/>
            <w:tcBorders>
              <w:top w:val="nil"/>
              <w:left w:val="single" w:color="auto" w:sz="8" w:space="0"/>
              <w:bottom w:val="single" w:color="auto" w:sz="4" w:space="0"/>
              <w:right w:val="single" w:color="auto" w:sz="4" w:space="0"/>
            </w:tcBorders>
            <w:noWrap w:val="0"/>
            <w:vAlign w:val="center"/>
          </w:tcPr>
          <w:p>
            <w:pPr>
              <w:spacing w:line="240" w:lineRule="auto"/>
              <w:ind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0.72</w:t>
            </w:r>
          </w:p>
        </w:tc>
      </w:tr>
      <w:tr>
        <w:tblPrEx>
          <w:tblCellMar>
            <w:top w:w="0" w:type="dxa"/>
            <w:left w:w="108" w:type="dxa"/>
            <w:bottom w:w="0" w:type="dxa"/>
            <w:right w:w="108" w:type="dxa"/>
          </w:tblCellMar>
        </w:tblPrEx>
        <w:trPr>
          <w:trHeight w:val="340" w:hRule="atLeast"/>
          <w:jc w:val="center"/>
        </w:trPr>
        <w:tc>
          <w:tcPr>
            <w:tcW w:w="1187" w:type="dxa"/>
            <w:tcBorders>
              <w:top w:val="nil"/>
              <w:left w:val="single" w:color="auto" w:sz="4" w:space="0"/>
              <w:bottom w:val="single" w:color="auto" w:sz="4" w:space="0"/>
              <w:right w:val="single" w:color="auto" w:sz="4" w:space="0"/>
            </w:tcBorders>
            <w:noWrap/>
            <w:vAlign w:val="center"/>
          </w:tcPr>
          <w:p>
            <w:pPr>
              <w:widowControl/>
              <w:spacing w:line="240" w:lineRule="auto"/>
              <w:ind w:firstLine="0" w:firstLineChars="0"/>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w:t>
            </w:r>
          </w:p>
        </w:tc>
        <w:tc>
          <w:tcPr>
            <w:tcW w:w="1704" w:type="dxa"/>
            <w:tcBorders>
              <w:top w:val="nil"/>
              <w:left w:val="nil"/>
              <w:bottom w:val="single" w:color="auto" w:sz="4" w:space="0"/>
              <w:right w:val="single" w:color="auto" w:sz="4" w:space="0"/>
            </w:tcBorders>
            <w:noWrap/>
            <w:vAlign w:val="center"/>
          </w:tcPr>
          <w:p>
            <w:pPr>
              <w:widowControl/>
              <w:spacing w:line="240" w:lineRule="auto"/>
              <w:ind w:firstLine="0" w:firstLineChars="0"/>
              <w:jc w:val="center"/>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eastAsia="zh-CN"/>
              </w:rPr>
              <w:t>管护费</w:t>
            </w:r>
          </w:p>
        </w:tc>
        <w:tc>
          <w:tcPr>
            <w:tcW w:w="1788" w:type="dxa"/>
            <w:tcBorders>
              <w:top w:val="nil"/>
              <w:left w:val="nil"/>
              <w:bottom w:val="single" w:color="auto" w:sz="4" w:space="0"/>
              <w:right w:val="single" w:color="auto" w:sz="4" w:space="0"/>
            </w:tcBorders>
            <w:noWrap/>
            <w:vAlign w:val="center"/>
          </w:tcPr>
          <w:p>
            <w:pPr>
              <w:spacing w:line="240" w:lineRule="auto"/>
              <w:ind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1200</w:t>
            </w:r>
          </w:p>
        </w:tc>
        <w:tc>
          <w:tcPr>
            <w:tcW w:w="1762" w:type="dxa"/>
            <w:tcBorders>
              <w:top w:val="nil"/>
              <w:left w:val="nil"/>
              <w:bottom w:val="single" w:color="auto" w:sz="4" w:space="0"/>
              <w:right w:val="single" w:color="auto" w:sz="8" w:space="0"/>
            </w:tcBorders>
            <w:noWrap/>
            <w:vAlign w:val="center"/>
          </w:tcPr>
          <w:p>
            <w:pPr>
              <w:spacing w:line="240" w:lineRule="auto"/>
              <w:ind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w:t>
            </w:r>
          </w:p>
        </w:tc>
        <w:tc>
          <w:tcPr>
            <w:tcW w:w="1997" w:type="dxa"/>
            <w:tcBorders>
              <w:top w:val="nil"/>
              <w:left w:val="single" w:color="auto" w:sz="8" w:space="0"/>
              <w:bottom w:val="single" w:color="auto" w:sz="4" w:space="0"/>
              <w:right w:val="single" w:color="auto" w:sz="4" w:space="0"/>
            </w:tcBorders>
            <w:noWrap w:val="0"/>
            <w:vAlign w:val="center"/>
          </w:tcPr>
          <w:p>
            <w:pPr>
              <w:spacing w:line="240" w:lineRule="auto"/>
              <w:ind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0.48</w:t>
            </w:r>
          </w:p>
        </w:tc>
      </w:tr>
      <w:tr>
        <w:tblPrEx>
          <w:tblCellMar>
            <w:top w:w="0" w:type="dxa"/>
            <w:left w:w="108" w:type="dxa"/>
            <w:bottom w:w="0" w:type="dxa"/>
            <w:right w:w="108" w:type="dxa"/>
          </w:tblCellMar>
        </w:tblPrEx>
        <w:trPr>
          <w:trHeight w:val="340" w:hRule="atLeast"/>
          <w:jc w:val="center"/>
        </w:trPr>
        <w:tc>
          <w:tcPr>
            <w:tcW w:w="2891" w:type="dxa"/>
            <w:gridSpan w:val="2"/>
            <w:tcBorders>
              <w:top w:val="single" w:color="auto" w:sz="4" w:space="0"/>
              <w:left w:val="single" w:color="auto" w:sz="4" w:space="0"/>
              <w:bottom w:val="single" w:color="auto" w:sz="4" w:space="0"/>
              <w:right w:val="single" w:color="auto" w:sz="4" w:space="0"/>
            </w:tcBorders>
            <w:noWrap/>
            <w:vAlign w:val="center"/>
          </w:tcPr>
          <w:p>
            <w:pPr>
              <w:widowControl/>
              <w:spacing w:line="240" w:lineRule="auto"/>
              <w:ind w:firstLine="0" w:firstLineChars="0"/>
              <w:jc w:val="center"/>
              <w:rPr>
                <w:rFonts w:hint="eastAsia" w:ascii="宋体" w:hAnsi="宋体" w:eastAsia="宋体" w:cs="宋体"/>
                <w:bCs/>
                <w:color w:val="auto"/>
                <w:kern w:val="0"/>
                <w:sz w:val="21"/>
                <w:szCs w:val="21"/>
              </w:rPr>
            </w:pPr>
            <w:r>
              <w:rPr>
                <w:rFonts w:hint="eastAsia" w:ascii="宋体" w:hAnsi="宋体" w:eastAsia="宋体" w:cs="宋体"/>
                <w:bCs/>
                <w:color w:val="auto"/>
                <w:kern w:val="0"/>
                <w:sz w:val="21"/>
                <w:szCs w:val="21"/>
              </w:rPr>
              <w:t>总      计</w:t>
            </w:r>
          </w:p>
        </w:tc>
        <w:tc>
          <w:tcPr>
            <w:tcW w:w="1788" w:type="dxa"/>
            <w:tcBorders>
              <w:top w:val="nil"/>
              <w:left w:val="nil"/>
              <w:bottom w:val="single" w:color="auto" w:sz="4" w:space="0"/>
              <w:right w:val="single" w:color="auto" w:sz="4" w:space="0"/>
            </w:tcBorders>
            <w:noWrap/>
            <w:vAlign w:val="center"/>
          </w:tcPr>
          <w:p>
            <w:pPr>
              <w:widowControl/>
              <w:spacing w:line="240" w:lineRule="auto"/>
              <w:ind w:firstLine="0" w:firstLineChars="0"/>
              <w:jc w:val="center"/>
              <w:rPr>
                <w:rFonts w:hint="eastAsia" w:ascii="宋体" w:hAnsi="宋体" w:eastAsia="宋体" w:cs="宋体"/>
                <w:bCs/>
                <w:color w:val="auto"/>
                <w:kern w:val="0"/>
                <w:sz w:val="21"/>
                <w:szCs w:val="21"/>
              </w:rPr>
            </w:pPr>
            <w:r>
              <w:rPr>
                <w:rFonts w:hint="eastAsia" w:ascii="宋体" w:hAnsi="宋体" w:eastAsia="宋体" w:cs="宋体"/>
                <w:bCs/>
                <w:color w:val="auto"/>
                <w:sz w:val="21"/>
                <w:szCs w:val="21"/>
              </w:rPr>
              <w:t>-</w:t>
            </w:r>
          </w:p>
        </w:tc>
        <w:tc>
          <w:tcPr>
            <w:tcW w:w="1762" w:type="dxa"/>
            <w:tcBorders>
              <w:top w:val="nil"/>
              <w:left w:val="nil"/>
              <w:bottom w:val="single" w:color="auto" w:sz="4" w:space="0"/>
              <w:right w:val="single" w:color="auto" w:sz="8" w:space="0"/>
            </w:tcBorders>
            <w:noWrap/>
            <w:vAlign w:val="center"/>
          </w:tcPr>
          <w:p>
            <w:pPr>
              <w:spacing w:line="240" w:lineRule="auto"/>
              <w:ind w:firstLine="0" w:firstLineChars="0"/>
              <w:jc w:val="center"/>
              <w:rPr>
                <w:rFonts w:hint="eastAsia" w:ascii="宋体" w:hAnsi="宋体" w:eastAsia="宋体" w:cs="宋体"/>
                <w:color w:val="auto"/>
                <w:sz w:val="21"/>
                <w:szCs w:val="21"/>
              </w:rPr>
            </w:pPr>
            <w:r>
              <w:rPr>
                <w:rFonts w:hint="eastAsia" w:ascii="宋体" w:hAnsi="宋体" w:eastAsia="宋体" w:cs="宋体"/>
                <w:bCs/>
                <w:color w:val="auto"/>
                <w:sz w:val="21"/>
                <w:szCs w:val="21"/>
              </w:rPr>
              <w:t>-</w:t>
            </w:r>
          </w:p>
        </w:tc>
        <w:tc>
          <w:tcPr>
            <w:tcW w:w="1997" w:type="dxa"/>
            <w:tcBorders>
              <w:top w:val="nil"/>
              <w:left w:val="single" w:color="auto" w:sz="8" w:space="0"/>
              <w:bottom w:val="single" w:color="auto" w:sz="4" w:space="0"/>
              <w:right w:val="single" w:color="auto" w:sz="4" w:space="0"/>
            </w:tcBorders>
            <w:noWrap w:val="0"/>
            <w:vAlign w:val="center"/>
          </w:tcPr>
          <w:p>
            <w:pPr>
              <w:spacing w:line="240" w:lineRule="auto"/>
              <w:ind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b/>
                <w:bCs/>
                <w:color w:val="auto"/>
                <w:sz w:val="21"/>
                <w:szCs w:val="21"/>
                <w:lang w:val="en-US" w:eastAsia="zh-CN"/>
              </w:rPr>
              <w:t>1.20</w:t>
            </w:r>
          </w:p>
        </w:tc>
      </w:tr>
    </w:tbl>
    <w:p>
      <w:pPr>
        <w:pStyle w:val="2"/>
        <w:rPr>
          <w:rFonts w:hint="eastAsia" w:ascii="宋体" w:hAnsi="宋体" w:eastAsia="宋体" w:cs="宋体"/>
          <w:color w:val="auto"/>
        </w:rPr>
      </w:pPr>
    </w:p>
    <w:sectPr>
      <w:footerReference r:id="rId12" w:type="default"/>
      <w:pgSz w:w="11907" w:h="16840"/>
      <w:pgMar w:top="1440" w:right="1797" w:bottom="1440" w:left="1797" w:header="851" w:footer="992" w:gutter="0"/>
      <w:pgNumType w:fmt="decimal" w:start="1"/>
      <w:cols w:space="72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楷体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roman"/>
    <w:pitch w:val="default"/>
    <w:sig w:usb0="FFFFFFFF" w:usb1="E9FFFFFF" w:usb2="0000003F" w:usb3="00000000" w:csb0="603F01FF" w:csb1="FFFF0000"/>
  </w:font>
  <w:font w:name="华文中宋">
    <w:panose1 w:val="02010600040101010101"/>
    <w:charset w:val="86"/>
    <w:family w:val="auto"/>
    <w:pitch w:val="default"/>
    <w:sig w:usb0="00000287" w:usb1="080F0000" w:usb2="00000000" w:usb3="00000000" w:csb0="0004009F" w:csb1="DFD70000"/>
  </w:font>
  <w:font w:name="隶书">
    <w:panose1 w:val="0201050906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Arial Narrow">
    <w:panose1 w:val="020B0606020202030204"/>
    <w:charset w:val="00"/>
    <w:family w:val="swiss"/>
    <w:pitch w:val="default"/>
    <w:sig w:usb0="00000287" w:usb1="000008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4"/>
      <w:ind w:firstLine="360"/>
      <w:jc w:val="center"/>
    </w:pPr>
  </w:p>
  <w:p>
    <w:pPr>
      <w:pStyle w:val="54"/>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4"/>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4"/>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4"/>
      <w:ind w:firstLine="360"/>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4"/>
      <w:ind w:firstLine="36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4"/>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Ux0jMkBAACZ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V1S4rjFgZ9//jj/ejw/fCdv&#10;sjx9gBqz7gLmpeG9H3BpZj+gM7MeVLT5i3wIxlHc00VcOSQi8qPVcrWqMCQwNl8Qnz09DxHSB+kt&#10;yUZDI06viMqPnyCNqXNKrub8rTamTNC4vxyImT0s9z72mK007IaJ0M63J+TT4+Ab6nDPKTEfHeqa&#10;d2Q24mzsZuMQot53ZYlyPQjvDgmbKL3lCiPsVBgnVthN25VX4s97yXr6oz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1THSMyQEAAJkDAAAOAAAAAAAAAAEAIAAAAB4BAABkcnMvZTJvRG9j&#10;LnhtbFBLBQYAAAAABgAGAFkBAABZBQAAAAA=&#10;">
              <v:fill on="f" focussize="0,0"/>
              <v:stroke on="f"/>
              <v:imagedata o:title=""/>
              <o:lock v:ext="edit" aspectratio="f"/>
              <v:textbox inset="0mm,0mm,0mm,0mm" style="mso-fit-shape-to-text:t;">
                <w:txbxContent>
                  <w:p>
                    <w:pPr>
                      <w:pStyle w:val="5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hideSpellingErrors/>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UzNmY0NTI1NDA5YzFkY2ZiNjNiMzljZGVkYzA1M2IifQ=="/>
    <w:docVar w:name="KSO_WPS_MARK_KEY" w:val="b15f4ab6-a1ef-4b54-b082-2b63df5dc6ae"/>
  </w:docVars>
  <w:rsids>
    <w:rsidRoot w:val="00172A27"/>
    <w:rsid w:val="000006CB"/>
    <w:rsid w:val="00000A05"/>
    <w:rsid w:val="00000A0C"/>
    <w:rsid w:val="00000C08"/>
    <w:rsid w:val="000026B9"/>
    <w:rsid w:val="00002E9E"/>
    <w:rsid w:val="00002F5C"/>
    <w:rsid w:val="00003620"/>
    <w:rsid w:val="00003C73"/>
    <w:rsid w:val="00004B40"/>
    <w:rsid w:val="00004E33"/>
    <w:rsid w:val="0000586E"/>
    <w:rsid w:val="00005873"/>
    <w:rsid w:val="00005CBF"/>
    <w:rsid w:val="00005D05"/>
    <w:rsid w:val="00006020"/>
    <w:rsid w:val="000060A2"/>
    <w:rsid w:val="0000613E"/>
    <w:rsid w:val="00006194"/>
    <w:rsid w:val="00006617"/>
    <w:rsid w:val="0000757C"/>
    <w:rsid w:val="0001021D"/>
    <w:rsid w:val="00011106"/>
    <w:rsid w:val="00011209"/>
    <w:rsid w:val="000114A6"/>
    <w:rsid w:val="000116EF"/>
    <w:rsid w:val="000119CA"/>
    <w:rsid w:val="00012213"/>
    <w:rsid w:val="000122B8"/>
    <w:rsid w:val="000124F7"/>
    <w:rsid w:val="000127DE"/>
    <w:rsid w:val="000131FA"/>
    <w:rsid w:val="00013A78"/>
    <w:rsid w:val="00013DFB"/>
    <w:rsid w:val="00013EB4"/>
    <w:rsid w:val="00014FF3"/>
    <w:rsid w:val="0001592D"/>
    <w:rsid w:val="00015B6F"/>
    <w:rsid w:val="00015E62"/>
    <w:rsid w:val="00015EA5"/>
    <w:rsid w:val="00015FEC"/>
    <w:rsid w:val="00016330"/>
    <w:rsid w:val="0001673B"/>
    <w:rsid w:val="000169C3"/>
    <w:rsid w:val="00016E9E"/>
    <w:rsid w:val="00017383"/>
    <w:rsid w:val="00020472"/>
    <w:rsid w:val="00020505"/>
    <w:rsid w:val="00021790"/>
    <w:rsid w:val="00021CAE"/>
    <w:rsid w:val="00022994"/>
    <w:rsid w:val="00022C5B"/>
    <w:rsid w:val="000230C4"/>
    <w:rsid w:val="000230D8"/>
    <w:rsid w:val="00024403"/>
    <w:rsid w:val="00024824"/>
    <w:rsid w:val="00024976"/>
    <w:rsid w:val="00024A62"/>
    <w:rsid w:val="00024A70"/>
    <w:rsid w:val="00024B60"/>
    <w:rsid w:val="00024CA8"/>
    <w:rsid w:val="0002536F"/>
    <w:rsid w:val="0002619B"/>
    <w:rsid w:val="0002633C"/>
    <w:rsid w:val="0002675F"/>
    <w:rsid w:val="00026EFA"/>
    <w:rsid w:val="0002701C"/>
    <w:rsid w:val="00027243"/>
    <w:rsid w:val="000275C1"/>
    <w:rsid w:val="00027749"/>
    <w:rsid w:val="00027949"/>
    <w:rsid w:val="00027B4A"/>
    <w:rsid w:val="00030423"/>
    <w:rsid w:val="00031309"/>
    <w:rsid w:val="00031D48"/>
    <w:rsid w:val="00031DA0"/>
    <w:rsid w:val="00032417"/>
    <w:rsid w:val="00032630"/>
    <w:rsid w:val="000327EF"/>
    <w:rsid w:val="00032A25"/>
    <w:rsid w:val="00032D66"/>
    <w:rsid w:val="00033742"/>
    <w:rsid w:val="00033F16"/>
    <w:rsid w:val="00034894"/>
    <w:rsid w:val="0003518C"/>
    <w:rsid w:val="0003580E"/>
    <w:rsid w:val="0003663F"/>
    <w:rsid w:val="00036A8F"/>
    <w:rsid w:val="00037192"/>
    <w:rsid w:val="000373E3"/>
    <w:rsid w:val="00037553"/>
    <w:rsid w:val="000375C1"/>
    <w:rsid w:val="00037E8F"/>
    <w:rsid w:val="00040021"/>
    <w:rsid w:val="00040A7E"/>
    <w:rsid w:val="0004110E"/>
    <w:rsid w:val="000418E2"/>
    <w:rsid w:val="00041AA0"/>
    <w:rsid w:val="00041B56"/>
    <w:rsid w:val="00042D27"/>
    <w:rsid w:val="0004387C"/>
    <w:rsid w:val="00043884"/>
    <w:rsid w:val="00043C49"/>
    <w:rsid w:val="00043E54"/>
    <w:rsid w:val="000442B2"/>
    <w:rsid w:val="0004493B"/>
    <w:rsid w:val="00044CA9"/>
    <w:rsid w:val="00044E50"/>
    <w:rsid w:val="000472AE"/>
    <w:rsid w:val="0004767D"/>
    <w:rsid w:val="00047F85"/>
    <w:rsid w:val="00050624"/>
    <w:rsid w:val="00050944"/>
    <w:rsid w:val="00050BA6"/>
    <w:rsid w:val="0005117B"/>
    <w:rsid w:val="000514A5"/>
    <w:rsid w:val="00051CEF"/>
    <w:rsid w:val="00052746"/>
    <w:rsid w:val="00053A2F"/>
    <w:rsid w:val="00053C98"/>
    <w:rsid w:val="00053CF8"/>
    <w:rsid w:val="00054058"/>
    <w:rsid w:val="00054194"/>
    <w:rsid w:val="00054236"/>
    <w:rsid w:val="0005448B"/>
    <w:rsid w:val="000544DD"/>
    <w:rsid w:val="00054B9F"/>
    <w:rsid w:val="00054EAF"/>
    <w:rsid w:val="00054ECB"/>
    <w:rsid w:val="0005575B"/>
    <w:rsid w:val="00056159"/>
    <w:rsid w:val="00056459"/>
    <w:rsid w:val="00056484"/>
    <w:rsid w:val="0005655E"/>
    <w:rsid w:val="00056EFB"/>
    <w:rsid w:val="00057316"/>
    <w:rsid w:val="00057687"/>
    <w:rsid w:val="0005798E"/>
    <w:rsid w:val="00060174"/>
    <w:rsid w:val="00060D5F"/>
    <w:rsid w:val="00060DCB"/>
    <w:rsid w:val="00061317"/>
    <w:rsid w:val="00061614"/>
    <w:rsid w:val="00061687"/>
    <w:rsid w:val="000618F1"/>
    <w:rsid w:val="00062444"/>
    <w:rsid w:val="00062873"/>
    <w:rsid w:val="00062D97"/>
    <w:rsid w:val="00063511"/>
    <w:rsid w:val="00063C2E"/>
    <w:rsid w:val="00063DA1"/>
    <w:rsid w:val="00064089"/>
    <w:rsid w:val="00064A2C"/>
    <w:rsid w:val="00064C94"/>
    <w:rsid w:val="00065550"/>
    <w:rsid w:val="000663A0"/>
    <w:rsid w:val="000669BF"/>
    <w:rsid w:val="00067117"/>
    <w:rsid w:val="00067464"/>
    <w:rsid w:val="000679A4"/>
    <w:rsid w:val="00067C73"/>
    <w:rsid w:val="00067D34"/>
    <w:rsid w:val="000702A4"/>
    <w:rsid w:val="000704CC"/>
    <w:rsid w:val="00070910"/>
    <w:rsid w:val="00070996"/>
    <w:rsid w:val="000711DE"/>
    <w:rsid w:val="00071453"/>
    <w:rsid w:val="00072A76"/>
    <w:rsid w:val="00072AAB"/>
    <w:rsid w:val="00072BCE"/>
    <w:rsid w:val="000731BF"/>
    <w:rsid w:val="000732DD"/>
    <w:rsid w:val="0007341E"/>
    <w:rsid w:val="00073720"/>
    <w:rsid w:val="00073DAD"/>
    <w:rsid w:val="0007439A"/>
    <w:rsid w:val="00074421"/>
    <w:rsid w:val="0007492B"/>
    <w:rsid w:val="00074EBB"/>
    <w:rsid w:val="000758B7"/>
    <w:rsid w:val="0007655F"/>
    <w:rsid w:val="00076631"/>
    <w:rsid w:val="00076902"/>
    <w:rsid w:val="0007693A"/>
    <w:rsid w:val="00076DFA"/>
    <w:rsid w:val="00077A0C"/>
    <w:rsid w:val="00077B1A"/>
    <w:rsid w:val="00077FAE"/>
    <w:rsid w:val="00080382"/>
    <w:rsid w:val="000808C7"/>
    <w:rsid w:val="00080BCE"/>
    <w:rsid w:val="00081021"/>
    <w:rsid w:val="000810E7"/>
    <w:rsid w:val="00081176"/>
    <w:rsid w:val="00081461"/>
    <w:rsid w:val="00081628"/>
    <w:rsid w:val="000828AF"/>
    <w:rsid w:val="00082A5E"/>
    <w:rsid w:val="00082AD3"/>
    <w:rsid w:val="00082DAA"/>
    <w:rsid w:val="0008372E"/>
    <w:rsid w:val="000846BD"/>
    <w:rsid w:val="00084E42"/>
    <w:rsid w:val="0008539A"/>
    <w:rsid w:val="00086AAE"/>
    <w:rsid w:val="0008729E"/>
    <w:rsid w:val="000874F4"/>
    <w:rsid w:val="000876EA"/>
    <w:rsid w:val="00087EB4"/>
    <w:rsid w:val="000906B4"/>
    <w:rsid w:val="00090F9F"/>
    <w:rsid w:val="000913E1"/>
    <w:rsid w:val="00091C0C"/>
    <w:rsid w:val="00092669"/>
    <w:rsid w:val="00092AD9"/>
    <w:rsid w:val="00093181"/>
    <w:rsid w:val="00094276"/>
    <w:rsid w:val="0009522D"/>
    <w:rsid w:val="00095233"/>
    <w:rsid w:val="000963B4"/>
    <w:rsid w:val="000963FA"/>
    <w:rsid w:val="0009651C"/>
    <w:rsid w:val="000967EE"/>
    <w:rsid w:val="00096B93"/>
    <w:rsid w:val="00096FBB"/>
    <w:rsid w:val="000970C4"/>
    <w:rsid w:val="0009767A"/>
    <w:rsid w:val="00097E79"/>
    <w:rsid w:val="000A004E"/>
    <w:rsid w:val="000A0356"/>
    <w:rsid w:val="000A0A50"/>
    <w:rsid w:val="000A102F"/>
    <w:rsid w:val="000A161B"/>
    <w:rsid w:val="000A1CA6"/>
    <w:rsid w:val="000A2B05"/>
    <w:rsid w:val="000A2E11"/>
    <w:rsid w:val="000A2FA7"/>
    <w:rsid w:val="000A358B"/>
    <w:rsid w:val="000A39D3"/>
    <w:rsid w:val="000A3E60"/>
    <w:rsid w:val="000A4138"/>
    <w:rsid w:val="000A4663"/>
    <w:rsid w:val="000A4671"/>
    <w:rsid w:val="000A4701"/>
    <w:rsid w:val="000A4BCC"/>
    <w:rsid w:val="000A52FE"/>
    <w:rsid w:val="000A5412"/>
    <w:rsid w:val="000A5723"/>
    <w:rsid w:val="000A59F5"/>
    <w:rsid w:val="000A5E82"/>
    <w:rsid w:val="000A5F7D"/>
    <w:rsid w:val="000A6AAA"/>
    <w:rsid w:val="000A6EF2"/>
    <w:rsid w:val="000A78F3"/>
    <w:rsid w:val="000A7D37"/>
    <w:rsid w:val="000A7F4A"/>
    <w:rsid w:val="000B0C5A"/>
    <w:rsid w:val="000B1CDD"/>
    <w:rsid w:val="000B1EE6"/>
    <w:rsid w:val="000B28E0"/>
    <w:rsid w:val="000B2CF4"/>
    <w:rsid w:val="000B2D4E"/>
    <w:rsid w:val="000B2F1C"/>
    <w:rsid w:val="000B3743"/>
    <w:rsid w:val="000B429C"/>
    <w:rsid w:val="000B4C02"/>
    <w:rsid w:val="000B6163"/>
    <w:rsid w:val="000B6289"/>
    <w:rsid w:val="000B68ED"/>
    <w:rsid w:val="000B6D2B"/>
    <w:rsid w:val="000C03D7"/>
    <w:rsid w:val="000C0E79"/>
    <w:rsid w:val="000C22B5"/>
    <w:rsid w:val="000C2D15"/>
    <w:rsid w:val="000C2E4A"/>
    <w:rsid w:val="000C2F22"/>
    <w:rsid w:val="000C3102"/>
    <w:rsid w:val="000C3C17"/>
    <w:rsid w:val="000C3D6D"/>
    <w:rsid w:val="000C5852"/>
    <w:rsid w:val="000C5BB0"/>
    <w:rsid w:val="000C6B04"/>
    <w:rsid w:val="000C6FDB"/>
    <w:rsid w:val="000C7599"/>
    <w:rsid w:val="000D0727"/>
    <w:rsid w:val="000D0AEE"/>
    <w:rsid w:val="000D0B79"/>
    <w:rsid w:val="000D100D"/>
    <w:rsid w:val="000D10D5"/>
    <w:rsid w:val="000D1122"/>
    <w:rsid w:val="000D142B"/>
    <w:rsid w:val="000D1739"/>
    <w:rsid w:val="000D1A9E"/>
    <w:rsid w:val="000D1ADB"/>
    <w:rsid w:val="000D1D7E"/>
    <w:rsid w:val="000D2977"/>
    <w:rsid w:val="000D2D12"/>
    <w:rsid w:val="000D3BB8"/>
    <w:rsid w:val="000D40A9"/>
    <w:rsid w:val="000D40ED"/>
    <w:rsid w:val="000D4240"/>
    <w:rsid w:val="000D4715"/>
    <w:rsid w:val="000D4EC7"/>
    <w:rsid w:val="000D578D"/>
    <w:rsid w:val="000D5823"/>
    <w:rsid w:val="000D5D57"/>
    <w:rsid w:val="000D62B7"/>
    <w:rsid w:val="000D648C"/>
    <w:rsid w:val="000D6ED4"/>
    <w:rsid w:val="000D7A6A"/>
    <w:rsid w:val="000E0F4F"/>
    <w:rsid w:val="000E1303"/>
    <w:rsid w:val="000E13FB"/>
    <w:rsid w:val="000E17DE"/>
    <w:rsid w:val="000E1DAA"/>
    <w:rsid w:val="000E22F4"/>
    <w:rsid w:val="000E283A"/>
    <w:rsid w:val="000E2859"/>
    <w:rsid w:val="000E2BB1"/>
    <w:rsid w:val="000E3365"/>
    <w:rsid w:val="000E3374"/>
    <w:rsid w:val="000E35C5"/>
    <w:rsid w:val="000E40C4"/>
    <w:rsid w:val="000E45EB"/>
    <w:rsid w:val="000E47C9"/>
    <w:rsid w:val="000E5B0E"/>
    <w:rsid w:val="000E5CD2"/>
    <w:rsid w:val="000E5F95"/>
    <w:rsid w:val="000E5FE0"/>
    <w:rsid w:val="000E602F"/>
    <w:rsid w:val="000E61EE"/>
    <w:rsid w:val="000E6365"/>
    <w:rsid w:val="000E63A3"/>
    <w:rsid w:val="000E69A6"/>
    <w:rsid w:val="000E73A4"/>
    <w:rsid w:val="000E755D"/>
    <w:rsid w:val="000E7F9A"/>
    <w:rsid w:val="000F0BE3"/>
    <w:rsid w:val="000F102D"/>
    <w:rsid w:val="000F1109"/>
    <w:rsid w:val="000F1E55"/>
    <w:rsid w:val="000F2F1A"/>
    <w:rsid w:val="000F3122"/>
    <w:rsid w:val="000F31D7"/>
    <w:rsid w:val="000F3317"/>
    <w:rsid w:val="000F39B5"/>
    <w:rsid w:val="000F4169"/>
    <w:rsid w:val="000F4176"/>
    <w:rsid w:val="000F42BD"/>
    <w:rsid w:val="000F4545"/>
    <w:rsid w:val="000F4A9B"/>
    <w:rsid w:val="000F5099"/>
    <w:rsid w:val="000F5257"/>
    <w:rsid w:val="000F562E"/>
    <w:rsid w:val="000F5E52"/>
    <w:rsid w:val="000F5E7A"/>
    <w:rsid w:val="000F7D2B"/>
    <w:rsid w:val="001009FB"/>
    <w:rsid w:val="00100FD9"/>
    <w:rsid w:val="001015E9"/>
    <w:rsid w:val="00101625"/>
    <w:rsid w:val="00101946"/>
    <w:rsid w:val="001023AF"/>
    <w:rsid w:val="001024B4"/>
    <w:rsid w:val="0010270A"/>
    <w:rsid w:val="00102813"/>
    <w:rsid w:val="00102E48"/>
    <w:rsid w:val="00103098"/>
    <w:rsid w:val="0010383E"/>
    <w:rsid w:val="00103A27"/>
    <w:rsid w:val="001045D9"/>
    <w:rsid w:val="001056C4"/>
    <w:rsid w:val="001057E9"/>
    <w:rsid w:val="00106593"/>
    <w:rsid w:val="00106EBA"/>
    <w:rsid w:val="0010739F"/>
    <w:rsid w:val="001075DA"/>
    <w:rsid w:val="00107DA6"/>
    <w:rsid w:val="00107F25"/>
    <w:rsid w:val="00110A42"/>
    <w:rsid w:val="00110BFD"/>
    <w:rsid w:val="00110F77"/>
    <w:rsid w:val="001112D6"/>
    <w:rsid w:val="00112646"/>
    <w:rsid w:val="00112922"/>
    <w:rsid w:val="00112EFF"/>
    <w:rsid w:val="00112F1C"/>
    <w:rsid w:val="00113043"/>
    <w:rsid w:val="001130B1"/>
    <w:rsid w:val="00113634"/>
    <w:rsid w:val="00113821"/>
    <w:rsid w:val="00113FA4"/>
    <w:rsid w:val="00114262"/>
    <w:rsid w:val="00114C2B"/>
    <w:rsid w:val="00114E7B"/>
    <w:rsid w:val="00114F9D"/>
    <w:rsid w:val="001152C5"/>
    <w:rsid w:val="001159C2"/>
    <w:rsid w:val="00115E64"/>
    <w:rsid w:val="00115FCD"/>
    <w:rsid w:val="001160BC"/>
    <w:rsid w:val="001166F8"/>
    <w:rsid w:val="00116ABC"/>
    <w:rsid w:val="00116E7C"/>
    <w:rsid w:val="0011774D"/>
    <w:rsid w:val="00117B81"/>
    <w:rsid w:val="00117EC8"/>
    <w:rsid w:val="00120105"/>
    <w:rsid w:val="0012031A"/>
    <w:rsid w:val="00120BD0"/>
    <w:rsid w:val="00120E60"/>
    <w:rsid w:val="00121179"/>
    <w:rsid w:val="0012117F"/>
    <w:rsid w:val="00121788"/>
    <w:rsid w:val="001218D2"/>
    <w:rsid w:val="001225F5"/>
    <w:rsid w:val="00122A7F"/>
    <w:rsid w:val="00123083"/>
    <w:rsid w:val="0012401D"/>
    <w:rsid w:val="00125C70"/>
    <w:rsid w:val="00126256"/>
    <w:rsid w:val="00126B26"/>
    <w:rsid w:val="00127043"/>
    <w:rsid w:val="00127168"/>
    <w:rsid w:val="001276E1"/>
    <w:rsid w:val="00127CEF"/>
    <w:rsid w:val="00130180"/>
    <w:rsid w:val="0013052A"/>
    <w:rsid w:val="001319F3"/>
    <w:rsid w:val="00131F0C"/>
    <w:rsid w:val="001322BB"/>
    <w:rsid w:val="001332A5"/>
    <w:rsid w:val="001343A5"/>
    <w:rsid w:val="001344F6"/>
    <w:rsid w:val="001349F5"/>
    <w:rsid w:val="001350E7"/>
    <w:rsid w:val="00135455"/>
    <w:rsid w:val="001359A4"/>
    <w:rsid w:val="00135A87"/>
    <w:rsid w:val="00136778"/>
    <w:rsid w:val="00136CA6"/>
    <w:rsid w:val="001375EB"/>
    <w:rsid w:val="001378E3"/>
    <w:rsid w:val="00137907"/>
    <w:rsid w:val="00137927"/>
    <w:rsid w:val="00137ADA"/>
    <w:rsid w:val="00137E36"/>
    <w:rsid w:val="001400AF"/>
    <w:rsid w:val="001405FF"/>
    <w:rsid w:val="00141CF8"/>
    <w:rsid w:val="001422EF"/>
    <w:rsid w:val="00142C4C"/>
    <w:rsid w:val="00142C9F"/>
    <w:rsid w:val="00144121"/>
    <w:rsid w:val="00144146"/>
    <w:rsid w:val="001442CD"/>
    <w:rsid w:val="001447F4"/>
    <w:rsid w:val="0014510D"/>
    <w:rsid w:val="00145900"/>
    <w:rsid w:val="00145B2F"/>
    <w:rsid w:val="00146210"/>
    <w:rsid w:val="001463AD"/>
    <w:rsid w:val="00146C93"/>
    <w:rsid w:val="00146E31"/>
    <w:rsid w:val="00146F7C"/>
    <w:rsid w:val="00150FF3"/>
    <w:rsid w:val="00151686"/>
    <w:rsid w:val="001516A7"/>
    <w:rsid w:val="001516CF"/>
    <w:rsid w:val="001516E7"/>
    <w:rsid w:val="00151702"/>
    <w:rsid w:val="00151DB4"/>
    <w:rsid w:val="00152334"/>
    <w:rsid w:val="00152C4E"/>
    <w:rsid w:val="001553F7"/>
    <w:rsid w:val="001555F3"/>
    <w:rsid w:val="001559B1"/>
    <w:rsid w:val="00155CDE"/>
    <w:rsid w:val="00155F10"/>
    <w:rsid w:val="00156152"/>
    <w:rsid w:val="001565CE"/>
    <w:rsid w:val="001566AF"/>
    <w:rsid w:val="001576E0"/>
    <w:rsid w:val="00157B43"/>
    <w:rsid w:val="00157D38"/>
    <w:rsid w:val="001602F9"/>
    <w:rsid w:val="00160BE6"/>
    <w:rsid w:val="00161335"/>
    <w:rsid w:val="00163726"/>
    <w:rsid w:val="00164B9B"/>
    <w:rsid w:val="0016531A"/>
    <w:rsid w:val="00166D4A"/>
    <w:rsid w:val="00167E5B"/>
    <w:rsid w:val="00167FBB"/>
    <w:rsid w:val="00170AB2"/>
    <w:rsid w:val="00171007"/>
    <w:rsid w:val="001712C9"/>
    <w:rsid w:val="001713C9"/>
    <w:rsid w:val="0017200D"/>
    <w:rsid w:val="0017262C"/>
    <w:rsid w:val="00172A27"/>
    <w:rsid w:val="00172BEE"/>
    <w:rsid w:val="00172D88"/>
    <w:rsid w:val="00172F05"/>
    <w:rsid w:val="00173943"/>
    <w:rsid w:val="00173A94"/>
    <w:rsid w:val="00173B05"/>
    <w:rsid w:val="00173C6E"/>
    <w:rsid w:val="001740DD"/>
    <w:rsid w:val="001757C4"/>
    <w:rsid w:val="00175C21"/>
    <w:rsid w:val="00175E2C"/>
    <w:rsid w:val="00175E6F"/>
    <w:rsid w:val="001764FA"/>
    <w:rsid w:val="00176EC5"/>
    <w:rsid w:val="00176F0B"/>
    <w:rsid w:val="00177317"/>
    <w:rsid w:val="0017732C"/>
    <w:rsid w:val="00177B8C"/>
    <w:rsid w:val="00177C6C"/>
    <w:rsid w:val="00177E02"/>
    <w:rsid w:val="00177E93"/>
    <w:rsid w:val="00177F3C"/>
    <w:rsid w:val="0018021B"/>
    <w:rsid w:val="00180707"/>
    <w:rsid w:val="00181656"/>
    <w:rsid w:val="001823D8"/>
    <w:rsid w:val="00182718"/>
    <w:rsid w:val="00182D19"/>
    <w:rsid w:val="00182F79"/>
    <w:rsid w:val="00183497"/>
    <w:rsid w:val="00183AAD"/>
    <w:rsid w:val="00184314"/>
    <w:rsid w:val="00184721"/>
    <w:rsid w:val="00184A7B"/>
    <w:rsid w:val="00184C93"/>
    <w:rsid w:val="0018503B"/>
    <w:rsid w:val="0018569D"/>
    <w:rsid w:val="00185B9B"/>
    <w:rsid w:val="00186042"/>
    <w:rsid w:val="00187124"/>
    <w:rsid w:val="00187658"/>
    <w:rsid w:val="0018766D"/>
    <w:rsid w:val="001877CB"/>
    <w:rsid w:val="00190028"/>
    <w:rsid w:val="001900A9"/>
    <w:rsid w:val="00190206"/>
    <w:rsid w:val="00190415"/>
    <w:rsid w:val="0019050E"/>
    <w:rsid w:val="0019069C"/>
    <w:rsid w:val="0019147C"/>
    <w:rsid w:val="00191FB2"/>
    <w:rsid w:val="001923B7"/>
    <w:rsid w:val="001928B9"/>
    <w:rsid w:val="00192BE7"/>
    <w:rsid w:val="00192F97"/>
    <w:rsid w:val="0019313E"/>
    <w:rsid w:val="00193364"/>
    <w:rsid w:val="001935C4"/>
    <w:rsid w:val="00193C6C"/>
    <w:rsid w:val="00193ED6"/>
    <w:rsid w:val="00193F33"/>
    <w:rsid w:val="0019450B"/>
    <w:rsid w:val="00195329"/>
    <w:rsid w:val="001954C8"/>
    <w:rsid w:val="001954F3"/>
    <w:rsid w:val="0019595D"/>
    <w:rsid w:val="0019615C"/>
    <w:rsid w:val="00196447"/>
    <w:rsid w:val="00196EA0"/>
    <w:rsid w:val="001971C6"/>
    <w:rsid w:val="0019726C"/>
    <w:rsid w:val="0019774D"/>
    <w:rsid w:val="00197835"/>
    <w:rsid w:val="00197B83"/>
    <w:rsid w:val="00197EC2"/>
    <w:rsid w:val="001A0554"/>
    <w:rsid w:val="001A134D"/>
    <w:rsid w:val="001A1846"/>
    <w:rsid w:val="001A20CB"/>
    <w:rsid w:val="001A261E"/>
    <w:rsid w:val="001A329E"/>
    <w:rsid w:val="001A4983"/>
    <w:rsid w:val="001A5320"/>
    <w:rsid w:val="001A55E5"/>
    <w:rsid w:val="001A5EA2"/>
    <w:rsid w:val="001A605D"/>
    <w:rsid w:val="001A6068"/>
    <w:rsid w:val="001A75A0"/>
    <w:rsid w:val="001A79D3"/>
    <w:rsid w:val="001B00D9"/>
    <w:rsid w:val="001B0186"/>
    <w:rsid w:val="001B075D"/>
    <w:rsid w:val="001B0855"/>
    <w:rsid w:val="001B0AC3"/>
    <w:rsid w:val="001B11F6"/>
    <w:rsid w:val="001B155C"/>
    <w:rsid w:val="001B1708"/>
    <w:rsid w:val="001B210C"/>
    <w:rsid w:val="001B27B0"/>
    <w:rsid w:val="001B2877"/>
    <w:rsid w:val="001B3487"/>
    <w:rsid w:val="001B3824"/>
    <w:rsid w:val="001B3B34"/>
    <w:rsid w:val="001B4419"/>
    <w:rsid w:val="001B474F"/>
    <w:rsid w:val="001B5337"/>
    <w:rsid w:val="001B5FC7"/>
    <w:rsid w:val="001B63D4"/>
    <w:rsid w:val="001B6743"/>
    <w:rsid w:val="001B6D84"/>
    <w:rsid w:val="001B70CC"/>
    <w:rsid w:val="001C0EA8"/>
    <w:rsid w:val="001C1D7B"/>
    <w:rsid w:val="001C1E31"/>
    <w:rsid w:val="001C2011"/>
    <w:rsid w:val="001C2530"/>
    <w:rsid w:val="001C26E3"/>
    <w:rsid w:val="001C3858"/>
    <w:rsid w:val="001C3C29"/>
    <w:rsid w:val="001C3DAF"/>
    <w:rsid w:val="001C429D"/>
    <w:rsid w:val="001C47E3"/>
    <w:rsid w:val="001C4943"/>
    <w:rsid w:val="001C4BB6"/>
    <w:rsid w:val="001C4CCE"/>
    <w:rsid w:val="001C55C1"/>
    <w:rsid w:val="001C58FC"/>
    <w:rsid w:val="001C66C6"/>
    <w:rsid w:val="001C6F82"/>
    <w:rsid w:val="001C7E8B"/>
    <w:rsid w:val="001D03EA"/>
    <w:rsid w:val="001D054A"/>
    <w:rsid w:val="001D07EE"/>
    <w:rsid w:val="001D0E0A"/>
    <w:rsid w:val="001D0F29"/>
    <w:rsid w:val="001D0FD3"/>
    <w:rsid w:val="001D1A00"/>
    <w:rsid w:val="001D1ADF"/>
    <w:rsid w:val="001D1E97"/>
    <w:rsid w:val="001D2452"/>
    <w:rsid w:val="001D2AFF"/>
    <w:rsid w:val="001D2C53"/>
    <w:rsid w:val="001D386A"/>
    <w:rsid w:val="001D40BC"/>
    <w:rsid w:val="001D42AA"/>
    <w:rsid w:val="001D4A62"/>
    <w:rsid w:val="001D4B39"/>
    <w:rsid w:val="001D4BCB"/>
    <w:rsid w:val="001D4C2A"/>
    <w:rsid w:val="001D511B"/>
    <w:rsid w:val="001D664F"/>
    <w:rsid w:val="001D68C8"/>
    <w:rsid w:val="001D6B9D"/>
    <w:rsid w:val="001D6E10"/>
    <w:rsid w:val="001D7208"/>
    <w:rsid w:val="001D7332"/>
    <w:rsid w:val="001D7B4B"/>
    <w:rsid w:val="001D7B8A"/>
    <w:rsid w:val="001E0485"/>
    <w:rsid w:val="001E0648"/>
    <w:rsid w:val="001E1048"/>
    <w:rsid w:val="001E1F89"/>
    <w:rsid w:val="001E202E"/>
    <w:rsid w:val="001E2533"/>
    <w:rsid w:val="001E2AA8"/>
    <w:rsid w:val="001E2C6F"/>
    <w:rsid w:val="001E316F"/>
    <w:rsid w:val="001E374D"/>
    <w:rsid w:val="001E38FD"/>
    <w:rsid w:val="001E3C1F"/>
    <w:rsid w:val="001E3E3B"/>
    <w:rsid w:val="001E3EE4"/>
    <w:rsid w:val="001E49EA"/>
    <w:rsid w:val="001E53F5"/>
    <w:rsid w:val="001E56FA"/>
    <w:rsid w:val="001E57A5"/>
    <w:rsid w:val="001E5FF5"/>
    <w:rsid w:val="001E65F6"/>
    <w:rsid w:val="001E6918"/>
    <w:rsid w:val="001E7001"/>
    <w:rsid w:val="001E7345"/>
    <w:rsid w:val="001E76CD"/>
    <w:rsid w:val="001E7E41"/>
    <w:rsid w:val="001E7E5D"/>
    <w:rsid w:val="001F0255"/>
    <w:rsid w:val="001F071A"/>
    <w:rsid w:val="001F09B9"/>
    <w:rsid w:val="001F09F9"/>
    <w:rsid w:val="001F0FB2"/>
    <w:rsid w:val="001F17B1"/>
    <w:rsid w:val="001F18F6"/>
    <w:rsid w:val="001F1B53"/>
    <w:rsid w:val="001F1EEF"/>
    <w:rsid w:val="001F2439"/>
    <w:rsid w:val="001F2B09"/>
    <w:rsid w:val="001F34CB"/>
    <w:rsid w:val="001F3A31"/>
    <w:rsid w:val="001F3D66"/>
    <w:rsid w:val="001F3D80"/>
    <w:rsid w:val="001F4741"/>
    <w:rsid w:val="001F478C"/>
    <w:rsid w:val="001F4860"/>
    <w:rsid w:val="001F52A2"/>
    <w:rsid w:val="001F52F9"/>
    <w:rsid w:val="001F54F3"/>
    <w:rsid w:val="001F56E0"/>
    <w:rsid w:val="001F583A"/>
    <w:rsid w:val="001F59EE"/>
    <w:rsid w:val="001F6772"/>
    <w:rsid w:val="001F678F"/>
    <w:rsid w:val="001F722D"/>
    <w:rsid w:val="001F7294"/>
    <w:rsid w:val="001F75C8"/>
    <w:rsid w:val="001F783D"/>
    <w:rsid w:val="00200302"/>
    <w:rsid w:val="00200785"/>
    <w:rsid w:val="00200C62"/>
    <w:rsid w:val="00200E0D"/>
    <w:rsid w:val="0020155B"/>
    <w:rsid w:val="00201959"/>
    <w:rsid w:val="002019A5"/>
    <w:rsid w:val="0020239B"/>
    <w:rsid w:val="0020459D"/>
    <w:rsid w:val="00204776"/>
    <w:rsid w:val="00204786"/>
    <w:rsid w:val="00204B0F"/>
    <w:rsid w:val="00204B3B"/>
    <w:rsid w:val="00205250"/>
    <w:rsid w:val="00205706"/>
    <w:rsid w:val="0020601C"/>
    <w:rsid w:val="002075F8"/>
    <w:rsid w:val="00207D51"/>
    <w:rsid w:val="0021021C"/>
    <w:rsid w:val="00210530"/>
    <w:rsid w:val="002109AE"/>
    <w:rsid w:val="00210CAF"/>
    <w:rsid w:val="00211035"/>
    <w:rsid w:val="00211B76"/>
    <w:rsid w:val="002121A8"/>
    <w:rsid w:val="00212F11"/>
    <w:rsid w:val="0021335E"/>
    <w:rsid w:val="00213396"/>
    <w:rsid w:val="002133EB"/>
    <w:rsid w:val="002133EC"/>
    <w:rsid w:val="00213A2F"/>
    <w:rsid w:val="00213E1F"/>
    <w:rsid w:val="00214377"/>
    <w:rsid w:val="00214ADA"/>
    <w:rsid w:val="00214CDC"/>
    <w:rsid w:val="002150B2"/>
    <w:rsid w:val="002160A4"/>
    <w:rsid w:val="002162AB"/>
    <w:rsid w:val="002167D4"/>
    <w:rsid w:val="00216981"/>
    <w:rsid w:val="00217658"/>
    <w:rsid w:val="002201E4"/>
    <w:rsid w:val="00220704"/>
    <w:rsid w:val="00221815"/>
    <w:rsid w:val="00221DAF"/>
    <w:rsid w:val="00222368"/>
    <w:rsid w:val="00223380"/>
    <w:rsid w:val="002236B2"/>
    <w:rsid w:val="0022484E"/>
    <w:rsid w:val="00224CF9"/>
    <w:rsid w:val="00224D2B"/>
    <w:rsid w:val="00226E37"/>
    <w:rsid w:val="00226E64"/>
    <w:rsid w:val="002271DC"/>
    <w:rsid w:val="00227339"/>
    <w:rsid w:val="00227B13"/>
    <w:rsid w:val="00230174"/>
    <w:rsid w:val="002302FB"/>
    <w:rsid w:val="002303DE"/>
    <w:rsid w:val="00230C6A"/>
    <w:rsid w:val="00230D1A"/>
    <w:rsid w:val="002322E1"/>
    <w:rsid w:val="0023249B"/>
    <w:rsid w:val="00232D11"/>
    <w:rsid w:val="00232E0B"/>
    <w:rsid w:val="0023447C"/>
    <w:rsid w:val="0023452B"/>
    <w:rsid w:val="002348E3"/>
    <w:rsid w:val="00234E8E"/>
    <w:rsid w:val="00235F62"/>
    <w:rsid w:val="00236A82"/>
    <w:rsid w:val="00236CF6"/>
    <w:rsid w:val="002377F8"/>
    <w:rsid w:val="00237804"/>
    <w:rsid w:val="00237939"/>
    <w:rsid w:val="00237A91"/>
    <w:rsid w:val="0024056F"/>
    <w:rsid w:val="00240947"/>
    <w:rsid w:val="00240FB8"/>
    <w:rsid w:val="0024182E"/>
    <w:rsid w:val="002419E1"/>
    <w:rsid w:val="00241BAE"/>
    <w:rsid w:val="00242161"/>
    <w:rsid w:val="002424E9"/>
    <w:rsid w:val="00242C29"/>
    <w:rsid w:val="002438F4"/>
    <w:rsid w:val="0024394C"/>
    <w:rsid w:val="00243E07"/>
    <w:rsid w:val="00243E3F"/>
    <w:rsid w:val="00244818"/>
    <w:rsid w:val="00245750"/>
    <w:rsid w:val="00246391"/>
    <w:rsid w:val="00250426"/>
    <w:rsid w:val="002506C8"/>
    <w:rsid w:val="00250B14"/>
    <w:rsid w:val="00250C3B"/>
    <w:rsid w:val="00251727"/>
    <w:rsid w:val="00251B39"/>
    <w:rsid w:val="00251F97"/>
    <w:rsid w:val="00253160"/>
    <w:rsid w:val="00253281"/>
    <w:rsid w:val="00253296"/>
    <w:rsid w:val="00253476"/>
    <w:rsid w:val="00254562"/>
    <w:rsid w:val="00254A17"/>
    <w:rsid w:val="0025591E"/>
    <w:rsid w:val="00255EEA"/>
    <w:rsid w:val="002564C3"/>
    <w:rsid w:val="00256607"/>
    <w:rsid w:val="002567F6"/>
    <w:rsid w:val="002569F9"/>
    <w:rsid w:val="0025702E"/>
    <w:rsid w:val="0025727B"/>
    <w:rsid w:val="0025737E"/>
    <w:rsid w:val="00257B3A"/>
    <w:rsid w:val="00260FBB"/>
    <w:rsid w:val="002616BE"/>
    <w:rsid w:val="00262088"/>
    <w:rsid w:val="002628E4"/>
    <w:rsid w:val="0026317E"/>
    <w:rsid w:val="002631A7"/>
    <w:rsid w:val="00263637"/>
    <w:rsid w:val="002657E1"/>
    <w:rsid w:val="00265C0C"/>
    <w:rsid w:val="00265E6C"/>
    <w:rsid w:val="00266008"/>
    <w:rsid w:val="002669A4"/>
    <w:rsid w:val="002669B6"/>
    <w:rsid w:val="002669E7"/>
    <w:rsid w:val="00267012"/>
    <w:rsid w:val="00267316"/>
    <w:rsid w:val="00270875"/>
    <w:rsid w:val="00270F0D"/>
    <w:rsid w:val="002710B7"/>
    <w:rsid w:val="002718E5"/>
    <w:rsid w:val="00271CB4"/>
    <w:rsid w:val="0027298B"/>
    <w:rsid w:val="00272D98"/>
    <w:rsid w:val="00273336"/>
    <w:rsid w:val="0027366D"/>
    <w:rsid w:val="00273BF0"/>
    <w:rsid w:val="0027410F"/>
    <w:rsid w:val="00274DAD"/>
    <w:rsid w:val="00275267"/>
    <w:rsid w:val="0027531E"/>
    <w:rsid w:val="00275780"/>
    <w:rsid w:val="002759B6"/>
    <w:rsid w:val="00275E84"/>
    <w:rsid w:val="00276E51"/>
    <w:rsid w:val="002812B5"/>
    <w:rsid w:val="002822EC"/>
    <w:rsid w:val="002827DC"/>
    <w:rsid w:val="00282C2E"/>
    <w:rsid w:val="00282FE3"/>
    <w:rsid w:val="00284625"/>
    <w:rsid w:val="002858AF"/>
    <w:rsid w:val="00285E75"/>
    <w:rsid w:val="00285F6B"/>
    <w:rsid w:val="002864DD"/>
    <w:rsid w:val="00286EBB"/>
    <w:rsid w:val="002900D1"/>
    <w:rsid w:val="00290F56"/>
    <w:rsid w:val="00291003"/>
    <w:rsid w:val="00291C6F"/>
    <w:rsid w:val="00293315"/>
    <w:rsid w:val="00293CF6"/>
    <w:rsid w:val="0029493A"/>
    <w:rsid w:val="00294DC8"/>
    <w:rsid w:val="00295EC0"/>
    <w:rsid w:val="0029669E"/>
    <w:rsid w:val="00296AC0"/>
    <w:rsid w:val="0029759C"/>
    <w:rsid w:val="00297705"/>
    <w:rsid w:val="00297D65"/>
    <w:rsid w:val="002A0227"/>
    <w:rsid w:val="002A05CB"/>
    <w:rsid w:val="002A15B0"/>
    <w:rsid w:val="002A2017"/>
    <w:rsid w:val="002A2037"/>
    <w:rsid w:val="002A267D"/>
    <w:rsid w:val="002A2A52"/>
    <w:rsid w:val="002A3CED"/>
    <w:rsid w:val="002A4A15"/>
    <w:rsid w:val="002A4DB4"/>
    <w:rsid w:val="002A599B"/>
    <w:rsid w:val="002A5D07"/>
    <w:rsid w:val="002A5D74"/>
    <w:rsid w:val="002A5E29"/>
    <w:rsid w:val="002A64B7"/>
    <w:rsid w:val="002A6B7C"/>
    <w:rsid w:val="002A71EF"/>
    <w:rsid w:val="002A720A"/>
    <w:rsid w:val="002B0A08"/>
    <w:rsid w:val="002B10E0"/>
    <w:rsid w:val="002B1215"/>
    <w:rsid w:val="002B13C3"/>
    <w:rsid w:val="002B164B"/>
    <w:rsid w:val="002B19F8"/>
    <w:rsid w:val="002B1A19"/>
    <w:rsid w:val="002B1D05"/>
    <w:rsid w:val="002B2C76"/>
    <w:rsid w:val="002B2CE5"/>
    <w:rsid w:val="002B3945"/>
    <w:rsid w:val="002B3DEC"/>
    <w:rsid w:val="002B3E1E"/>
    <w:rsid w:val="002B49A0"/>
    <w:rsid w:val="002B58E0"/>
    <w:rsid w:val="002B5C22"/>
    <w:rsid w:val="002B669D"/>
    <w:rsid w:val="002B72D4"/>
    <w:rsid w:val="002B7868"/>
    <w:rsid w:val="002B7AC8"/>
    <w:rsid w:val="002C06E1"/>
    <w:rsid w:val="002C0841"/>
    <w:rsid w:val="002C0911"/>
    <w:rsid w:val="002C0F97"/>
    <w:rsid w:val="002C2507"/>
    <w:rsid w:val="002C2BEA"/>
    <w:rsid w:val="002C3170"/>
    <w:rsid w:val="002C3B68"/>
    <w:rsid w:val="002C3BD4"/>
    <w:rsid w:val="002C3DCA"/>
    <w:rsid w:val="002C3F26"/>
    <w:rsid w:val="002C3F3C"/>
    <w:rsid w:val="002C477B"/>
    <w:rsid w:val="002C4CDA"/>
    <w:rsid w:val="002C4DA4"/>
    <w:rsid w:val="002C50C0"/>
    <w:rsid w:val="002C5BAE"/>
    <w:rsid w:val="002C5C03"/>
    <w:rsid w:val="002C62E2"/>
    <w:rsid w:val="002C7130"/>
    <w:rsid w:val="002C750E"/>
    <w:rsid w:val="002C75A8"/>
    <w:rsid w:val="002C7999"/>
    <w:rsid w:val="002C7FAD"/>
    <w:rsid w:val="002D0606"/>
    <w:rsid w:val="002D0F48"/>
    <w:rsid w:val="002D1011"/>
    <w:rsid w:val="002D1BD3"/>
    <w:rsid w:val="002D233E"/>
    <w:rsid w:val="002D23DB"/>
    <w:rsid w:val="002D2445"/>
    <w:rsid w:val="002D35E6"/>
    <w:rsid w:val="002D3682"/>
    <w:rsid w:val="002D489A"/>
    <w:rsid w:val="002D4DE9"/>
    <w:rsid w:val="002D52DE"/>
    <w:rsid w:val="002D6179"/>
    <w:rsid w:val="002D63EA"/>
    <w:rsid w:val="002D679C"/>
    <w:rsid w:val="002D6FE3"/>
    <w:rsid w:val="002D7CD5"/>
    <w:rsid w:val="002E04D1"/>
    <w:rsid w:val="002E0CC0"/>
    <w:rsid w:val="002E0E5D"/>
    <w:rsid w:val="002E12CF"/>
    <w:rsid w:val="002E1B00"/>
    <w:rsid w:val="002E25B4"/>
    <w:rsid w:val="002E3118"/>
    <w:rsid w:val="002E4D1A"/>
    <w:rsid w:val="002E4E33"/>
    <w:rsid w:val="002E546C"/>
    <w:rsid w:val="002E6846"/>
    <w:rsid w:val="002E6E64"/>
    <w:rsid w:val="002E7389"/>
    <w:rsid w:val="002E76CB"/>
    <w:rsid w:val="002F00B5"/>
    <w:rsid w:val="002F04ED"/>
    <w:rsid w:val="002F1DBB"/>
    <w:rsid w:val="002F1EF7"/>
    <w:rsid w:val="002F2123"/>
    <w:rsid w:val="002F2219"/>
    <w:rsid w:val="002F230D"/>
    <w:rsid w:val="002F3E01"/>
    <w:rsid w:val="002F40E6"/>
    <w:rsid w:val="002F4482"/>
    <w:rsid w:val="002F4571"/>
    <w:rsid w:val="002F514E"/>
    <w:rsid w:val="002F5367"/>
    <w:rsid w:val="002F611F"/>
    <w:rsid w:val="002F62C2"/>
    <w:rsid w:val="002F7178"/>
    <w:rsid w:val="002F77D6"/>
    <w:rsid w:val="00300258"/>
    <w:rsid w:val="0030074F"/>
    <w:rsid w:val="00300B93"/>
    <w:rsid w:val="00301E64"/>
    <w:rsid w:val="00301F75"/>
    <w:rsid w:val="0030292E"/>
    <w:rsid w:val="00302ABD"/>
    <w:rsid w:val="00302C76"/>
    <w:rsid w:val="00302D3A"/>
    <w:rsid w:val="00302D7E"/>
    <w:rsid w:val="00302FB3"/>
    <w:rsid w:val="003033EC"/>
    <w:rsid w:val="00304006"/>
    <w:rsid w:val="00304894"/>
    <w:rsid w:val="0030503C"/>
    <w:rsid w:val="00305236"/>
    <w:rsid w:val="00305C2B"/>
    <w:rsid w:val="00305D67"/>
    <w:rsid w:val="00306886"/>
    <w:rsid w:val="00306BBD"/>
    <w:rsid w:val="003079AB"/>
    <w:rsid w:val="00310684"/>
    <w:rsid w:val="00310F41"/>
    <w:rsid w:val="00311421"/>
    <w:rsid w:val="00311FC9"/>
    <w:rsid w:val="00312096"/>
    <w:rsid w:val="0031223E"/>
    <w:rsid w:val="00312412"/>
    <w:rsid w:val="00312B0E"/>
    <w:rsid w:val="0031357E"/>
    <w:rsid w:val="003139CC"/>
    <w:rsid w:val="00313D0B"/>
    <w:rsid w:val="00313F43"/>
    <w:rsid w:val="003142B2"/>
    <w:rsid w:val="0031456B"/>
    <w:rsid w:val="00314588"/>
    <w:rsid w:val="00315156"/>
    <w:rsid w:val="00315BD7"/>
    <w:rsid w:val="00315EB3"/>
    <w:rsid w:val="003162A9"/>
    <w:rsid w:val="00316AF0"/>
    <w:rsid w:val="00316C7C"/>
    <w:rsid w:val="0031794F"/>
    <w:rsid w:val="00320166"/>
    <w:rsid w:val="00321AD2"/>
    <w:rsid w:val="0032285E"/>
    <w:rsid w:val="0032331B"/>
    <w:rsid w:val="00323417"/>
    <w:rsid w:val="00323A8A"/>
    <w:rsid w:val="00323FD4"/>
    <w:rsid w:val="003240EE"/>
    <w:rsid w:val="003243AA"/>
    <w:rsid w:val="00324D12"/>
    <w:rsid w:val="0032574F"/>
    <w:rsid w:val="0032614A"/>
    <w:rsid w:val="003263E4"/>
    <w:rsid w:val="003273D6"/>
    <w:rsid w:val="00327A34"/>
    <w:rsid w:val="00327B87"/>
    <w:rsid w:val="003300F4"/>
    <w:rsid w:val="0033047B"/>
    <w:rsid w:val="0033109B"/>
    <w:rsid w:val="0033121F"/>
    <w:rsid w:val="00331F11"/>
    <w:rsid w:val="00331F8F"/>
    <w:rsid w:val="00332070"/>
    <w:rsid w:val="003320CF"/>
    <w:rsid w:val="003325C0"/>
    <w:rsid w:val="003328D1"/>
    <w:rsid w:val="003329DB"/>
    <w:rsid w:val="00332B0F"/>
    <w:rsid w:val="0033390F"/>
    <w:rsid w:val="00333D80"/>
    <w:rsid w:val="003346D5"/>
    <w:rsid w:val="0033549C"/>
    <w:rsid w:val="003355FF"/>
    <w:rsid w:val="003356D6"/>
    <w:rsid w:val="00335BF2"/>
    <w:rsid w:val="00335FC4"/>
    <w:rsid w:val="003361CB"/>
    <w:rsid w:val="003361EA"/>
    <w:rsid w:val="00336749"/>
    <w:rsid w:val="00336BE6"/>
    <w:rsid w:val="00336DEC"/>
    <w:rsid w:val="0033700F"/>
    <w:rsid w:val="00340373"/>
    <w:rsid w:val="003403B5"/>
    <w:rsid w:val="003404AD"/>
    <w:rsid w:val="003404C2"/>
    <w:rsid w:val="0034076E"/>
    <w:rsid w:val="00340A86"/>
    <w:rsid w:val="003411BA"/>
    <w:rsid w:val="0034121D"/>
    <w:rsid w:val="0034293E"/>
    <w:rsid w:val="00342FB8"/>
    <w:rsid w:val="0034335E"/>
    <w:rsid w:val="00343A11"/>
    <w:rsid w:val="00343E77"/>
    <w:rsid w:val="00343F3E"/>
    <w:rsid w:val="0034443A"/>
    <w:rsid w:val="003447AC"/>
    <w:rsid w:val="00344EC2"/>
    <w:rsid w:val="003450F0"/>
    <w:rsid w:val="00345CEE"/>
    <w:rsid w:val="0034790A"/>
    <w:rsid w:val="00351AA1"/>
    <w:rsid w:val="00351C47"/>
    <w:rsid w:val="00351CFB"/>
    <w:rsid w:val="00351F44"/>
    <w:rsid w:val="00352447"/>
    <w:rsid w:val="00352624"/>
    <w:rsid w:val="0035276E"/>
    <w:rsid w:val="00352A75"/>
    <w:rsid w:val="00352BF8"/>
    <w:rsid w:val="00353E0F"/>
    <w:rsid w:val="00354590"/>
    <w:rsid w:val="003549D8"/>
    <w:rsid w:val="00355035"/>
    <w:rsid w:val="00355357"/>
    <w:rsid w:val="00355588"/>
    <w:rsid w:val="00355893"/>
    <w:rsid w:val="00355B6D"/>
    <w:rsid w:val="00355BB6"/>
    <w:rsid w:val="00355FB6"/>
    <w:rsid w:val="003561E6"/>
    <w:rsid w:val="00356E42"/>
    <w:rsid w:val="00357014"/>
    <w:rsid w:val="003571B4"/>
    <w:rsid w:val="00357BA0"/>
    <w:rsid w:val="00357C5B"/>
    <w:rsid w:val="0036010C"/>
    <w:rsid w:val="0036026F"/>
    <w:rsid w:val="00360337"/>
    <w:rsid w:val="0036037C"/>
    <w:rsid w:val="00361B58"/>
    <w:rsid w:val="00361D7D"/>
    <w:rsid w:val="00361EC7"/>
    <w:rsid w:val="00362068"/>
    <w:rsid w:val="003621AE"/>
    <w:rsid w:val="00362225"/>
    <w:rsid w:val="003622ED"/>
    <w:rsid w:val="00362EB9"/>
    <w:rsid w:val="00362F21"/>
    <w:rsid w:val="0036420E"/>
    <w:rsid w:val="003642B1"/>
    <w:rsid w:val="003642F9"/>
    <w:rsid w:val="003644B5"/>
    <w:rsid w:val="003646C7"/>
    <w:rsid w:val="00364898"/>
    <w:rsid w:val="00365A65"/>
    <w:rsid w:val="00365D8E"/>
    <w:rsid w:val="00365E71"/>
    <w:rsid w:val="00366CD6"/>
    <w:rsid w:val="00367773"/>
    <w:rsid w:val="003677A0"/>
    <w:rsid w:val="003678C2"/>
    <w:rsid w:val="003702FF"/>
    <w:rsid w:val="00370449"/>
    <w:rsid w:val="00370523"/>
    <w:rsid w:val="00370C76"/>
    <w:rsid w:val="00371334"/>
    <w:rsid w:val="0037195C"/>
    <w:rsid w:val="00371EEF"/>
    <w:rsid w:val="00372197"/>
    <w:rsid w:val="003721CE"/>
    <w:rsid w:val="003726B1"/>
    <w:rsid w:val="00372C47"/>
    <w:rsid w:val="00372D3D"/>
    <w:rsid w:val="00372DB5"/>
    <w:rsid w:val="00373214"/>
    <w:rsid w:val="00373956"/>
    <w:rsid w:val="00373C51"/>
    <w:rsid w:val="003748F5"/>
    <w:rsid w:val="00374A0B"/>
    <w:rsid w:val="003751A2"/>
    <w:rsid w:val="003751C9"/>
    <w:rsid w:val="0037528C"/>
    <w:rsid w:val="00375515"/>
    <w:rsid w:val="00375EB4"/>
    <w:rsid w:val="0037609D"/>
    <w:rsid w:val="00376A48"/>
    <w:rsid w:val="00377301"/>
    <w:rsid w:val="003773E6"/>
    <w:rsid w:val="00377605"/>
    <w:rsid w:val="00377647"/>
    <w:rsid w:val="00377B06"/>
    <w:rsid w:val="0038001D"/>
    <w:rsid w:val="0038006D"/>
    <w:rsid w:val="003803D8"/>
    <w:rsid w:val="003807D0"/>
    <w:rsid w:val="003817FD"/>
    <w:rsid w:val="003820F8"/>
    <w:rsid w:val="00382BB1"/>
    <w:rsid w:val="00383F34"/>
    <w:rsid w:val="00383F45"/>
    <w:rsid w:val="00384713"/>
    <w:rsid w:val="00384F38"/>
    <w:rsid w:val="00385FD4"/>
    <w:rsid w:val="003865BC"/>
    <w:rsid w:val="00386BB8"/>
    <w:rsid w:val="00386DBF"/>
    <w:rsid w:val="0038707D"/>
    <w:rsid w:val="0038755B"/>
    <w:rsid w:val="00387A9B"/>
    <w:rsid w:val="00387F0E"/>
    <w:rsid w:val="003901A0"/>
    <w:rsid w:val="00390862"/>
    <w:rsid w:val="003918DA"/>
    <w:rsid w:val="00391C96"/>
    <w:rsid w:val="003925C1"/>
    <w:rsid w:val="003937DC"/>
    <w:rsid w:val="00393A62"/>
    <w:rsid w:val="00394580"/>
    <w:rsid w:val="003947D0"/>
    <w:rsid w:val="003948D2"/>
    <w:rsid w:val="00394FE0"/>
    <w:rsid w:val="00395047"/>
    <w:rsid w:val="003956FA"/>
    <w:rsid w:val="003957BD"/>
    <w:rsid w:val="00395D01"/>
    <w:rsid w:val="00396586"/>
    <w:rsid w:val="003978BE"/>
    <w:rsid w:val="00397CA0"/>
    <w:rsid w:val="00397D71"/>
    <w:rsid w:val="003A009E"/>
    <w:rsid w:val="003A05A0"/>
    <w:rsid w:val="003A1830"/>
    <w:rsid w:val="003A1CFB"/>
    <w:rsid w:val="003A21FA"/>
    <w:rsid w:val="003A286A"/>
    <w:rsid w:val="003A2BEB"/>
    <w:rsid w:val="003A30E7"/>
    <w:rsid w:val="003A33D6"/>
    <w:rsid w:val="003A34A3"/>
    <w:rsid w:val="003A40F5"/>
    <w:rsid w:val="003A4174"/>
    <w:rsid w:val="003A4739"/>
    <w:rsid w:val="003A4FD0"/>
    <w:rsid w:val="003A5179"/>
    <w:rsid w:val="003A69AA"/>
    <w:rsid w:val="003A6E77"/>
    <w:rsid w:val="003A706A"/>
    <w:rsid w:val="003A7266"/>
    <w:rsid w:val="003A7331"/>
    <w:rsid w:val="003A7926"/>
    <w:rsid w:val="003A7A27"/>
    <w:rsid w:val="003A7B27"/>
    <w:rsid w:val="003A7B95"/>
    <w:rsid w:val="003B1681"/>
    <w:rsid w:val="003B1872"/>
    <w:rsid w:val="003B2190"/>
    <w:rsid w:val="003B2202"/>
    <w:rsid w:val="003B227E"/>
    <w:rsid w:val="003B235B"/>
    <w:rsid w:val="003B2366"/>
    <w:rsid w:val="003B25FA"/>
    <w:rsid w:val="003B3535"/>
    <w:rsid w:val="003B44C9"/>
    <w:rsid w:val="003B44E9"/>
    <w:rsid w:val="003B4D4A"/>
    <w:rsid w:val="003B5817"/>
    <w:rsid w:val="003B601A"/>
    <w:rsid w:val="003B774D"/>
    <w:rsid w:val="003C013F"/>
    <w:rsid w:val="003C070B"/>
    <w:rsid w:val="003C1145"/>
    <w:rsid w:val="003C141B"/>
    <w:rsid w:val="003C1460"/>
    <w:rsid w:val="003C22CA"/>
    <w:rsid w:val="003C2568"/>
    <w:rsid w:val="003C30A3"/>
    <w:rsid w:val="003C345B"/>
    <w:rsid w:val="003C3649"/>
    <w:rsid w:val="003C41F0"/>
    <w:rsid w:val="003C4932"/>
    <w:rsid w:val="003C4DB4"/>
    <w:rsid w:val="003C4F9F"/>
    <w:rsid w:val="003C51C5"/>
    <w:rsid w:val="003C52E1"/>
    <w:rsid w:val="003C55C3"/>
    <w:rsid w:val="003C61D4"/>
    <w:rsid w:val="003C62B9"/>
    <w:rsid w:val="003C6879"/>
    <w:rsid w:val="003C6BB6"/>
    <w:rsid w:val="003C6E54"/>
    <w:rsid w:val="003C6EFD"/>
    <w:rsid w:val="003C6FB9"/>
    <w:rsid w:val="003C7745"/>
    <w:rsid w:val="003C7B77"/>
    <w:rsid w:val="003D0042"/>
    <w:rsid w:val="003D0352"/>
    <w:rsid w:val="003D1A67"/>
    <w:rsid w:val="003D1A88"/>
    <w:rsid w:val="003D1D5F"/>
    <w:rsid w:val="003D2158"/>
    <w:rsid w:val="003D22AF"/>
    <w:rsid w:val="003D3173"/>
    <w:rsid w:val="003D31A0"/>
    <w:rsid w:val="003D34F7"/>
    <w:rsid w:val="003D3E1A"/>
    <w:rsid w:val="003D414E"/>
    <w:rsid w:val="003D4B92"/>
    <w:rsid w:val="003D53D4"/>
    <w:rsid w:val="003D5579"/>
    <w:rsid w:val="003D6451"/>
    <w:rsid w:val="003D65DA"/>
    <w:rsid w:val="003D6720"/>
    <w:rsid w:val="003D69C8"/>
    <w:rsid w:val="003D6F6D"/>
    <w:rsid w:val="003D73E2"/>
    <w:rsid w:val="003D7919"/>
    <w:rsid w:val="003D7946"/>
    <w:rsid w:val="003D7E52"/>
    <w:rsid w:val="003E0995"/>
    <w:rsid w:val="003E1095"/>
    <w:rsid w:val="003E112F"/>
    <w:rsid w:val="003E1456"/>
    <w:rsid w:val="003E1519"/>
    <w:rsid w:val="003E280B"/>
    <w:rsid w:val="003E28D1"/>
    <w:rsid w:val="003E3362"/>
    <w:rsid w:val="003E3908"/>
    <w:rsid w:val="003E4548"/>
    <w:rsid w:val="003E4B4A"/>
    <w:rsid w:val="003E4D7B"/>
    <w:rsid w:val="003E57A9"/>
    <w:rsid w:val="003E602B"/>
    <w:rsid w:val="003E60A9"/>
    <w:rsid w:val="003E6622"/>
    <w:rsid w:val="003E6724"/>
    <w:rsid w:val="003E6A9C"/>
    <w:rsid w:val="003E6BD5"/>
    <w:rsid w:val="003E6C15"/>
    <w:rsid w:val="003E70DF"/>
    <w:rsid w:val="003E7503"/>
    <w:rsid w:val="003E7C1B"/>
    <w:rsid w:val="003E7F7F"/>
    <w:rsid w:val="003F004C"/>
    <w:rsid w:val="003F0861"/>
    <w:rsid w:val="003F0891"/>
    <w:rsid w:val="003F1077"/>
    <w:rsid w:val="003F1663"/>
    <w:rsid w:val="003F18AA"/>
    <w:rsid w:val="003F264B"/>
    <w:rsid w:val="003F29C8"/>
    <w:rsid w:val="003F36C1"/>
    <w:rsid w:val="003F3760"/>
    <w:rsid w:val="003F37A4"/>
    <w:rsid w:val="003F4057"/>
    <w:rsid w:val="003F471A"/>
    <w:rsid w:val="003F4AC0"/>
    <w:rsid w:val="003F511C"/>
    <w:rsid w:val="003F5271"/>
    <w:rsid w:val="003F6357"/>
    <w:rsid w:val="003F6643"/>
    <w:rsid w:val="003F671E"/>
    <w:rsid w:val="003F7563"/>
    <w:rsid w:val="003F7837"/>
    <w:rsid w:val="003F791E"/>
    <w:rsid w:val="003F79C5"/>
    <w:rsid w:val="003F7DEA"/>
    <w:rsid w:val="00400FF4"/>
    <w:rsid w:val="00401264"/>
    <w:rsid w:val="00401404"/>
    <w:rsid w:val="0040159D"/>
    <w:rsid w:val="00401CAD"/>
    <w:rsid w:val="00401CC6"/>
    <w:rsid w:val="00401F10"/>
    <w:rsid w:val="00401F39"/>
    <w:rsid w:val="004021B1"/>
    <w:rsid w:val="00402930"/>
    <w:rsid w:val="00402E62"/>
    <w:rsid w:val="004031BB"/>
    <w:rsid w:val="004043A7"/>
    <w:rsid w:val="00404BB2"/>
    <w:rsid w:val="00404D87"/>
    <w:rsid w:val="00404E05"/>
    <w:rsid w:val="0040532E"/>
    <w:rsid w:val="00405358"/>
    <w:rsid w:val="00405A0E"/>
    <w:rsid w:val="0040621C"/>
    <w:rsid w:val="00406F13"/>
    <w:rsid w:val="0040728C"/>
    <w:rsid w:val="004072BD"/>
    <w:rsid w:val="00407ED4"/>
    <w:rsid w:val="0041029A"/>
    <w:rsid w:val="0041172A"/>
    <w:rsid w:val="00411F9E"/>
    <w:rsid w:val="00412C35"/>
    <w:rsid w:val="0041339E"/>
    <w:rsid w:val="00414237"/>
    <w:rsid w:val="00414738"/>
    <w:rsid w:val="004149B2"/>
    <w:rsid w:val="00414E57"/>
    <w:rsid w:val="0041501A"/>
    <w:rsid w:val="00415288"/>
    <w:rsid w:val="00415839"/>
    <w:rsid w:val="00415BCB"/>
    <w:rsid w:val="0041603C"/>
    <w:rsid w:val="004161FE"/>
    <w:rsid w:val="00416843"/>
    <w:rsid w:val="00416EF0"/>
    <w:rsid w:val="0041734C"/>
    <w:rsid w:val="00417EE6"/>
    <w:rsid w:val="00420AA5"/>
    <w:rsid w:val="00421C1D"/>
    <w:rsid w:val="00421DF2"/>
    <w:rsid w:val="00422189"/>
    <w:rsid w:val="00422415"/>
    <w:rsid w:val="00422CC2"/>
    <w:rsid w:val="0042326D"/>
    <w:rsid w:val="00424770"/>
    <w:rsid w:val="004247B4"/>
    <w:rsid w:val="00424A29"/>
    <w:rsid w:val="00424BA3"/>
    <w:rsid w:val="004253E5"/>
    <w:rsid w:val="0042558D"/>
    <w:rsid w:val="004262BA"/>
    <w:rsid w:val="00426337"/>
    <w:rsid w:val="00426D80"/>
    <w:rsid w:val="00427399"/>
    <w:rsid w:val="004273E6"/>
    <w:rsid w:val="00427B72"/>
    <w:rsid w:val="00430F30"/>
    <w:rsid w:val="00431356"/>
    <w:rsid w:val="00431455"/>
    <w:rsid w:val="004315AD"/>
    <w:rsid w:val="0043183F"/>
    <w:rsid w:val="00431C7F"/>
    <w:rsid w:val="00432479"/>
    <w:rsid w:val="00432ABB"/>
    <w:rsid w:val="00433458"/>
    <w:rsid w:val="00434C71"/>
    <w:rsid w:val="00435482"/>
    <w:rsid w:val="00435D83"/>
    <w:rsid w:val="00435E57"/>
    <w:rsid w:val="0043617B"/>
    <w:rsid w:val="004365C4"/>
    <w:rsid w:val="00436F36"/>
    <w:rsid w:val="00437E9C"/>
    <w:rsid w:val="0044063D"/>
    <w:rsid w:val="00440D03"/>
    <w:rsid w:val="004418CC"/>
    <w:rsid w:val="00441C87"/>
    <w:rsid w:val="00441F13"/>
    <w:rsid w:val="00442D9E"/>
    <w:rsid w:val="00442DAA"/>
    <w:rsid w:val="00443654"/>
    <w:rsid w:val="00443940"/>
    <w:rsid w:val="004447E4"/>
    <w:rsid w:val="00445104"/>
    <w:rsid w:val="00445478"/>
    <w:rsid w:val="004459C3"/>
    <w:rsid w:val="00445CB8"/>
    <w:rsid w:val="00446D14"/>
    <w:rsid w:val="00446F01"/>
    <w:rsid w:val="004473A0"/>
    <w:rsid w:val="00447B71"/>
    <w:rsid w:val="00447D41"/>
    <w:rsid w:val="00450E39"/>
    <w:rsid w:val="00451036"/>
    <w:rsid w:val="00451793"/>
    <w:rsid w:val="00451DEE"/>
    <w:rsid w:val="004524AB"/>
    <w:rsid w:val="00452D79"/>
    <w:rsid w:val="00453B6C"/>
    <w:rsid w:val="00454689"/>
    <w:rsid w:val="004547D0"/>
    <w:rsid w:val="004548C4"/>
    <w:rsid w:val="00454D3D"/>
    <w:rsid w:val="00456094"/>
    <w:rsid w:val="0045688D"/>
    <w:rsid w:val="00456BA9"/>
    <w:rsid w:val="004573E5"/>
    <w:rsid w:val="00461A77"/>
    <w:rsid w:val="00462D4F"/>
    <w:rsid w:val="00463548"/>
    <w:rsid w:val="00463BC2"/>
    <w:rsid w:val="004645A6"/>
    <w:rsid w:val="00464606"/>
    <w:rsid w:val="00464DB6"/>
    <w:rsid w:val="00464E03"/>
    <w:rsid w:val="00464FCF"/>
    <w:rsid w:val="00465641"/>
    <w:rsid w:val="004658AE"/>
    <w:rsid w:val="00465E69"/>
    <w:rsid w:val="00466244"/>
    <w:rsid w:val="004662ED"/>
    <w:rsid w:val="004665FE"/>
    <w:rsid w:val="00466C0E"/>
    <w:rsid w:val="00466CAF"/>
    <w:rsid w:val="00466D89"/>
    <w:rsid w:val="00467BF2"/>
    <w:rsid w:val="00470096"/>
    <w:rsid w:val="004702E6"/>
    <w:rsid w:val="004709BD"/>
    <w:rsid w:val="004711A0"/>
    <w:rsid w:val="00472108"/>
    <w:rsid w:val="0047229C"/>
    <w:rsid w:val="00472593"/>
    <w:rsid w:val="0047259F"/>
    <w:rsid w:val="0047260A"/>
    <w:rsid w:val="00472964"/>
    <w:rsid w:val="00472D38"/>
    <w:rsid w:val="00472E10"/>
    <w:rsid w:val="00473458"/>
    <w:rsid w:val="00473563"/>
    <w:rsid w:val="004743AF"/>
    <w:rsid w:val="0047469B"/>
    <w:rsid w:val="004749AD"/>
    <w:rsid w:val="00474C19"/>
    <w:rsid w:val="00474D68"/>
    <w:rsid w:val="00474DF7"/>
    <w:rsid w:val="004750DD"/>
    <w:rsid w:val="0047539A"/>
    <w:rsid w:val="004753B1"/>
    <w:rsid w:val="00475E47"/>
    <w:rsid w:val="00476AC6"/>
    <w:rsid w:val="0047748B"/>
    <w:rsid w:val="00477526"/>
    <w:rsid w:val="00477BD5"/>
    <w:rsid w:val="004801D2"/>
    <w:rsid w:val="00480448"/>
    <w:rsid w:val="004808DB"/>
    <w:rsid w:val="00481972"/>
    <w:rsid w:val="00481997"/>
    <w:rsid w:val="00481D77"/>
    <w:rsid w:val="00482040"/>
    <w:rsid w:val="00482F4B"/>
    <w:rsid w:val="0048373C"/>
    <w:rsid w:val="00483A27"/>
    <w:rsid w:val="00483ADF"/>
    <w:rsid w:val="00484999"/>
    <w:rsid w:val="00484F6F"/>
    <w:rsid w:val="004855D3"/>
    <w:rsid w:val="004857E9"/>
    <w:rsid w:val="00486696"/>
    <w:rsid w:val="004871C8"/>
    <w:rsid w:val="0048734C"/>
    <w:rsid w:val="00487793"/>
    <w:rsid w:val="00490F6D"/>
    <w:rsid w:val="00491DE0"/>
    <w:rsid w:val="00491FB8"/>
    <w:rsid w:val="00492518"/>
    <w:rsid w:val="00492B96"/>
    <w:rsid w:val="00494061"/>
    <w:rsid w:val="0049553F"/>
    <w:rsid w:val="00495CB7"/>
    <w:rsid w:val="00495F61"/>
    <w:rsid w:val="004969F2"/>
    <w:rsid w:val="0049765A"/>
    <w:rsid w:val="004A0406"/>
    <w:rsid w:val="004A0455"/>
    <w:rsid w:val="004A0B54"/>
    <w:rsid w:val="004A107C"/>
    <w:rsid w:val="004A14B4"/>
    <w:rsid w:val="004A158E"/>
    <w:rsid w:val="004A1A76"/>
    <w:rsid w:val="004A206C"/>
    <w:rsid w:val="004A2288"/>
    <w:rsid w:val="004A2F4B"/>
    <w:rsid w:val="004A3483"/>
    <w:rsid w:val="004A3A0A"/>
    <w:rsid w:val="004A4D77"/>
    <w:rsid w:val="004A4E08"/>
    <w:rsid w:val="004A509B"/>
    <w:rsid w:val="004A54AD"/>
    <w:rsid w:val="004A5628"/>
    <w:rsid w:val="004A57BB"/>
    <w:rsid w:val="004A5ADD"/>
    <w:rsid w:val="004A5B68"/>
    <w:rsid w:val="004A68E5"/>
    <w:rsid w:val="004A6F6F"/>
    <w:rsid w:val="004A7E67"/>
    <w:rsid w:val="004B046B"/>
    <w:rsid w:val="004B06FD"/>
    <w:rsid w:val="004B23DF"/>
    <w:rsid w:val="004B25C6"/>
    <w:rsid w:val="004B2B87"/>
    <w:rsid w:val="004B2CE7"/>
    <w:rsid w:val="004B2FAF"/>
    <w:rsid w:val="004B42CA"/>
    <w:rsid w:val="004B4995"/>
    <w:rsid w:val="004B5376"/>
    <w:rsid w:val="004B5494"/>
    <w:rsid w:val="004B5564"/>
    <w:rsid w:val="004B60D8"/>
    <w:rsid w:val="004B64D4"/>
    <w:rsid w:val="004B743A"/>
    <w:rsid w:val="004C0396"/>
    <w:rsid w:val="004C07B3"/>
    <w:rsid w:val="004C098C"/>
    <w:rsid w:val="004C0E02"/>
    <w:rsid w:val="004C13EC"/>
    <w:rsid w:val="004C1654"/>
    <w:rsid w:val="004C273B"/>
    <w:rsid w:val="004C3739"/>
    <w:rsid w:val="004C3B50"/>
    <w:rsid w:val="004C3C12"/>
    <w:rsid w:val="004C3D0B"/>
    <w:rsid w:val="004C46DC"/>
    <w:rsid w:val="004C4D01"/>
    <w:rsid w:val="004C568C"/>
    <w:rsid w:val="004C59AD"/>
    <w:rsid w:val="004C5E5B"/>
    <w:rsid w:val="004C6839"/>
    <w:rsid w:val="004C6BB9"/>
    <w:rsid w:val="004C6E38"/>
    <w:rsid w:val="004C6EB3"/>
    <w:rsid w:val="004C770B"/>
    <w:rsid w:val="004C7BD6"/>
    <w:rsid w:val="004D071E"/>
    <w:rsid w:val="004D1347"/>
    <w:rsid w:val="004D233E"/>
    <w:rsid w:val="004D2BB0"/>
    <w:rsid w:val="004D3213"/>
    <w:rsid w:val="004D3AB0"/>
    <w:rsid w:val="004D3B31"/>
    <w:rsid w:val="004D3CC7"/>
    <w:rsid w:val="004D4354"/>
    <w:rsid w:val="004D44ED"/>
    <w:rsid w:val="004D45B9"/>
    <w:rsid w:val="004D49EB"/>
    <w:rsid w:val="004D4E9B"/>
    <w:rsid w:val="004D59BC"/>
    <w:rsid w:val="004D5E91"/>
    <w:rsid w:val="004D61C4"/>
    <w:rsid w:val="004D662C"/>
    <w:rsid w:val="004D6D14"/>
    <w:rsid w:val="004D6E64"/>
    <w:rsid w:val="004D6FCF"/>
    <w:rsid w:val="004D71B9"/>
    <w:rsid w:val="004D7203"/>
    <w:rsid w:val="004D75C0"/>
    <w:rsid w:val="004D7D01"/>
    <w:rsid w:val="004E17EA"/>
    <w:rsid w:val="004E2DF9"/>
    <w:rsid w:val="004E2FA1"/>
    <w:rsid w:val="004E3239"/>
    <w:rsid w:val="004E3483"/>
    <w:rsid w:val="004E357F"/>
    <w:rsid w:val="004E376D"/>
    <w:rsid w:val="004E37A2"/>
    <w:rsid w:val="004E381F"/>
    <w:rsid w:val="004E38FE"/>
    <w:rsid w:val="004E4EF1"/>
    <w:rsid w:val="004E51F3"/>
    <w:rsid w:val="004E68A2"/>
    <w:rsid w:val="004E68BF"/>
    <w:rsid w:val="004E68C1"/>
    <w:rsid w:val="004E6A7C"/>
    <w:rsid w:val="004E6CD1"/>
    <w:rsid w:val="004E7AF2"/>
    <w:rsid w:val="004F01F0"/>
    <w:rsid w:val="004F02FA"/>
    <w:rsid w:val="004F041E"/>
    <w:rsid w:val="004F08AD"/>
    <w:rsid w:val="004F0B01"/>
    <w:rsid w:val="004F0EA1"/>
    <w:rsid w:val="004F100A"/>
    <w:rsid w:val="004F10F5"/>
    <w:rsid w:val="004F229B"/>
    <w:rsid w:val="004F251B"/>
    <w:rsid w:val="004F261D"/>
    <w:rsid w:val="004F2BDE"/>
    <w:rsid w:val="004F2C46"/>
    <w:rsid w:val="004F2ED3"/>
    <w:rsid w:val="004F3504"/>
    <w:rsid w:val="004F3CFA"/>
    <w:rsid w:val="004F403C"/>
    <w:rsid w:val="004F429C"/>
    <w:rsid w:val="004F45A2"/>
    <w:rsid w:val="004F4799"/>
    <w:rsid w:val="004F4B4F"/>
    <w:rsid w:val="004F4CE9"/>
    <w:rsid w:val="004F4F0E"/>
    <w:rsid w:val="004F6808"/>
    <w:rsid w:val="004F6C7E"/>
    <w:rsid w:val="004F6D61"/>
    <w:rsid w:val="004F798F"/>
    <w:rsid w:val="004F7996"/>
    <w:rsid w:val="00500653"/>
    <w:rsid w:val="005006A1"/>
    <w:rsid w:val="00501520"/>
    <w:rsid w:val="00501869"/>
    <w:rsid w:val="00501ECD"/>
    <w:rsid w:val="005027B3"/>
    <w:rsid w:val="005032CF"/>
    <w:rsid w:val="00504222"/>
    <w:rsid w:val="00504ECC"/>
    <w:rsid w:val="005051FB"/>
    <w:rsid w:val="00505202"/>
    <w:rsid w:val="00505A85"/>
    <w:rsid w:val="00505AC3"/>
    <w:rsid w:val="0050641E"/>
    <w:rsid w:val="00507329"/>
    <w:rsid w:val="005079BC"/>
    <w:rsid w:val="00510D1F"/>
    <w:rsid w:val="005123AC"/>
    <w:rsid w:val="0051269E"/>
    <w:rsid w:val="00512907"/>
    <w:rsid w:val="00512FC9"/>
    <w:rsid w:val="00513641"/>
    <w:rsid w:val="00513A1F"/>
    <w:rsid w:val="00513CC4"/>
    <w:rsid w:val="00514707"/>
    <w:rsid w:val="0051489E"/>
    <w:rsid w:val="005159A0"/>
    <w:rsid w:val="005164F1"/>
    <w:rsid w:val="00516838"/>
    <w:rsid w:val="0051795D"/>
    <w:rsid w:val="00520806"/>
    <w:rsid w:val="00521055"/>
    <w:rsid w:val="005212F7"/>
    <w:rsid w:val="00521B09"/>
    <w:rsid w:val="00521E04"/>
    <w:rsid w:val="0052270E"/>
    <w:rsid w:val="005233FE"/>
    <w:rsid w:val="00524D9E"/>
    <w:rsid w:val="00524EC7"/>
    <w:rsid w:val="0052567A"/>
    <w:rsid w:val="00526471"/>
    <w:rsid w:val="0052655F"/>
    <w:rsid w:val="005267E3"/>
    <w:rsid w:val="00526915"/>
    <w:rsid w:val="00526FC6"/>
    <w:rsid w:val="005271FF"/>
    <w:rsid w:val="005277DB"/>
    <w:rsid w:val="005279EE"/>
    <w:rsid w:val="00527ACF"/>
    <w:rsid w:val="00530563"/>
    <w:rsid w:val="0053074F"/>
    <w:rsid w:val="00530D0C"/>
    <w:rsid w:val="00530D9F"/>
    <w:rsid w:val="005310EC"/>
    <w:rsid w:val="005312C7"/>
    <w:rsid w:val="0053146F"/>
    <w:rsid w:val="005328D2"/>
    <w:rsid w:val="00532906"/>
    <w:rsid w:val="0053322E"/>
    <w:rsid w:val="0053345F"/>
    <w:rsid w:val="00533B8A"/>
    <w:rsid w:val="00533E21"/>
    <w:rsid w:val="005349E9"/>
    <w:rsid w:val="00534BFE"/>
    <w:rsid w:val="005358B1"/>
    <w:rsid w:val="00535A0D"/>
    <w:rsid w:val="0053604B"/>
    <w:rsid w:val="0053626A"/>
    <w:rsid w:val="00537390"/>
    <w:rsid w:val="005378B1"/>
    <w:rsid w:val="00537ADE"/>
    <w:rsid w:val="00537D52"/>
    <w:rsid w:val="00537E71"/>
    <w:rsid w:val="00540067"/>
    <w:rsid w:val="00540198"/>
    <w:rsid w:val="005403D8"/>
    <w:rsid w:val="005409E1"/>
    <w:rsid w:val="00541026"/>
    <w:rsid w:val="005418FA"/>
    <w:rsid w:val="0054270E"/>
    <w:rsid w:val="00542C84"/>
    <w:rsid w:val="00542D27"/>
    <w:rsid w:val="00542F8D"/>
    <w:rsid w:val="00543067"/>
    <w:rsid w:val="00543269"/>
    <w:rsid w:val="00543B71"/>
    <w:rsid w:val="00543E1F"/>
    <w:rsid w:val="00544767"/>
    <w:rsid w:val="005447E2"/>
    <w:rsid w:val="00544A60"/>
    <w:rsid w:val="00544AB9"/>
    <w:rsid w:val="00544F9C"/>
    <w:rsid w:val="0054609F"/>
    <w:rsid w:val="005461BC"/>
    <w:rsid w:val="005466E3"/>
    <w:rsid w:val="00547248"/>
    <w:rsid w:val="005474EA"/>
    <w:rsid w:val="005506C8"/>
    <w:rsid w:val="00550AF7"/>
    <w:rsid w:val="00550BEA"/>
    <w:rsid w:val="00551A33"/>
    <w:rsid w:val="00553015"/>
    <w:rsid w:val="005533AE"/>
    <w:rsid w:val="00553BDD"/>
    <w:rsid w:val="00553D9E"/>
    <w:rsid w:val="00553EF5"/>
    <w:rsid w:val="00553F00"/>
    <w:rsid w:val="00553FD0"/>
    <w:rsid w:val="00554381"/>
    <w:rsid w:val="00554682"/>
    <w:rsid w:val="00554CDA"/>
    <w:rsid w:val="00554D7C"/>
    <w:rsid w:val="00555004"/>
    <w:rsid w:val="005551E9"/>
    <w:rsid w:val="0055530B"/>
    <w:rsid w:val="005553DB"/>
    <w:rsid w:val="00555752"/>
    <w:rsid w:val="0055590A"/>
    <w:rsid w:val="00556F8D"/>
    <w:rsid w:val="00557174"/>
    <w:rsid w:val="0055774C"/>
    <w:rsid w:val="005579D5"/>
    <w:rsid w:val="00557A25"/>
    <w:rsid w:val="00557F45"/>
    <w:rsid w:val="0056046B"/>
    <w:rsid w:val="0056109D"/>
    <w:rsid w:val="0056131C"/>
    <w:rsid w:val="00561468"/>
    <w:rsid w:val="005615C7"/>
    <w:rsid w:val="0056268B"/>
    <w:rsid w:val="00562E54"/>
    <w:rsid w:val="00563162"/>
    <w:rsid w:val="00563BCD"/>
    <w:rsid w:val="00563CB0"/>
    <w:rsid w:val="00563D58"/>
    <w:rsid w:val="00563E75"/>
    <w:rsid w:val="00563F56"/>
    <w:rsid w:val="00564514"/>
    <w:rsid w:val="00564646"/>
    <w:rsid w:val="00564BA7"/>
    <w:rsid w:val="005651CD"/>
    <w:rsid w:val="00566401"/>
    <w:rsid w:val="00566488"/>
    <w:rsid w:val="00566A9A"/>
    <w:rsid w:val="00566E21"/>
    <w:rsid w:val="005671FF"/>
    <w:rsid w:val="00567934"/>
    <w:rsid w:val="005709DF"/>
    <w:rsid w:val="00571A2F"/>
    <w:rsid w:val="00571FEB"/>
    <w:rsid w:val="005722C5"/>
    <w:rsid w:val="005724C1"/>
    <w:rsid w:val="00572A5E"/>
    <w:rsid w:val="00573F6D"/>
    <w:rsid w:val="0057400E"/>
    <w:rsid w:val="00574795"/>
    <w:rsid w:val="00574CD3"/>
    <w:rsid w:val="00574D3D"/>
    <w:rsid w:val="00575712"/>
    <w:rsid w:val="00575717"/>
    <w:rsid w:val="00575D14"/>
    <w:rsid w:val="005774DD"/>
    <w:rsid w:val="005775E5"/>
    <w:rsid w:val="005775F7"/>
    <w:rsid w:val="00577665"/>
    <w:rsid w:val="0057779E"/>
    <w:rsid w:val="00577FE1"/>
    <w:rsid w:val="00581078"/>
    <w:rsid w:val="00581C60"/>
    <w:rsid w:val="0058293A"/>
    <w:rsid w:val="00582CFD"/>
    <w:rsid w:val="00582FDA"/>
    <w:rsid w:val="00583CDC"/>
    <w:rsid w:val="00584835"/>
    <w:rsid w:val="00584C5C"/>
    <w:rsid w:val="00585021"/>
    <w:rsid w:val="0058530E"/>
    <w:rsid w:val="00585CC9"/>
    <w:rsid w:val="005860E9"/>
    <w:rsid w:val="005864CC"/>
    <w:rsid w:val="005869FA"/>
    <w:rsid w:val="00586AB6"/>
    <w:rsid w:val="00587082"/>
    <w:rsid w:val="00587B90"/>
    <w:rsid w:val="00587BC8"/>
    <w:rsid w:val="00587ECF"/>
    <w:rsid w:val="0059001F"/>
    <w:rsid w:val="00590296"/>
    <w:rsid w:val="0059035E"/>
    <w:rsid w:val="00590DC7"/>
    <w:rsid w:val="0059167B"/>
    <w:rsid w:val="005919CD"/>
    <w:rsid w:val="00591F05"/>
    <w:rsid w:val="00592330"/>
    <w:rsid w:val="00592B69"/>
    <w:rsid w:val="00592E40"/>
    <w:rsid w:val="00592EA4"/>
    <w:rsid w:val="0059360E"/>
    <w:rsid w:val="0059380D"/>
    <w:rsid w:val="005943CF"/>
    <w:rsid w:val="005948DE"/>
    <w:rsid w:val="00594BC7"/>
    <w:rsid w:val="0059503F"/>
    <w:rsid w:val="005973CF"/>
    <w:rsid w:val="005976C2"/>
    <w:rsid w:val="00597D9F"/>
    <w:rsid w:val="005A06EA"/>
    <w:rsid w:val="005A0DEB"/>
    <w:rsid w:val="005A10D0"/>
    <w:rsid w:val="005A1CB3"/>
    <w:rsid w:val="005A2AD5"/>
    <w:rsid w:val="005A2B21"/>
    <w:rsid w:val="005A2D49"/>
    <w:rsid w:val="005A37C7"/>
    <w:rsid w:val="005A38A0"/>
    <w:rsid w:val="005A3F88"/>
    <w:rsid w:val="005A4AD2"/>
    <w:rsid w:val="005A5049"/>
    <w:rsid w:val="005A51BC"/>
    <w:rsid w:val="005A5490"/>
    <w:rsid w:val="005A554C"/>
    <w:rsid w:val="005A631B"/>
    <w:rsid w:val="005A656F"/>
    <w:rsid w:val="005A68A9"/>
    <w:rsid w:val="005A6D8C"/>
    <w:rsid w:val="005A6E11"/>
    <w:rsid w:val="005A704D"/>
    <w:rsid w:val="005A77EB"/>
    <w:rsid w:val="005A785A"/>
    <w:rsid w:val="005A78E1"/>
    <w:rsid w:val="005A79CB"/>
    <w:rsid w:val="005A7D35"/>
    <w:rsid w:val="005B09E2"/>
    <w:rsid w:val="005B21B5"/>
    <w:rsid w:val="005B239D"/>
    <w:rsid w:val="005B275D"/>
    <w:rsid w:val="005B2DD1"/>
    <w:rsid w:val="005B2F9B"/>
    <w:rsid w:val="005B3612"/>
    <w:rsid w:val="005B37BF"/>
    <w:rsid w:val="005B3D74"/>
    <w:rsid w:val="005B42A2"/>
    <w:rsid w:val="005B4A18"/>
    <w:rsid w:val="005B4A9C"/>
    <w:rsid w:val="005B508E"/>
    <w:rsid w:val="005B51CA"/>
    <w:rsid w:val="005B584A"/>
    <w:rsid w:val="005B592C"/>
    <w:rsid w:val="005B6668"/>
    <w:rsid w:val="005B6738"/>
    <w:rsid w:val="005B6F53"/>
    <w:rsid w:val="005B6FCC"/>
    <w:rsid w:val="005B7387"/>
    <w:rsid w:val="005B73CA"/>
    <w:rsid w:val="005B7BDA"/>
    <w:rsid w:val="005C07B5"/>
    <w:rsid w:val="005C0E61"/>
    <w:rsid w:val="005C1AE1"/>
    <w:rsid w:val="005C1F65"/>
    <w:rsid w:val="005C2DA4"/>
    <w:rsid w:val="005C30B1"/>
    <w:rsid w:val="005C33D2"/>
    <w:rsid w:val="005C3DF5"/>
    <w:rsid w:val="005C432F"/>
    <w:rsid w:val="005C4E63"/>
    <w:rsid w:val="005C5F74"/>
    <w:rsid w:val="005C5FBE"/>
    <w:rsid w:val="005C6253"/>
    <w:rsid w:val="005C63C8"/>
    <w:rsid w:val="005C6DFF"/>
    <w:rsid w:val="005C7099"/>
    <w:rsid w:val="005C75BB"/>
    <w:rsid w:val="005C75D8"/>
    <w:rsid w:val="005C7EB3"/>
    <w:rsid w:val="005D0873"/>
    <w:rsid w:val="005D0D0C"/>
    <w:rsid w:val="005D0F1E"/>
    <w:rsid w:val="005D0F69"/>
    <w:rsid w:val="005D1622"/>
    <w:rsid w:val="005D198C"/>
    <w:rsid w:val="005D1B04"/>
    <w:rsid w:val="005D1CA3"/>
    <w:rsid w:val="005D1DDA"/>
    <w:rsid w:val="005D3125"/>
    <w:rsid w:val="005D33FF"/>
    <w:rsid w:val="005D40B0"/>
    <w:rsid w:val="005D4243"/>
    <w:rsid w:val="005D4287"/>
    <w:rsid w:val="005D47E7"/>
    <w:rsid w:val="005D4952"/>
    <w:rsid w:val="005D577B"/>
    <w:rsid w:val="005D5BDE"/>
    <w:rsid w:val="005D6C4D"/>
    <w:rsid w:val="005D6D0F"/>
    <w:rsid w:val="005D74FA"/>
    <w:rsid w:val="005D75DE"/>
    <w:rsid w:val="005D7922"/>
    <w:rsid w:val="005D7B37"/>
    <w:rsid w:val="005E0274"/>
    <w:rsid w:val="005E030E"/>
    <w:rsid w:val="005E114A"/>
    <w:rsid w:val="005E12A8"/>
    <w:rsid w:val="005E12D1"/>
    <w:rsid w:val="005E14BC"/>
    <w:rsid w:val="005E1A1D"/>
    <w:rsid w:val="005E1F80"/>
    <w:rsid w:val="005E35A4"/>
    <w:rsid w:val="005E366E"/>
    <w:rsid w:val="005E367E"/>
    <w:rsid w:val="005E3AB8"/>
    <w:rsid w:val="005E4B8C"/>
    <w:rsid w:val="005E50BE"/>
    <w:rsid w:val="005E5572"/>
    <w:rsid w:val="005E55D9"/>
    <w:rsid w:val="005E57A4"/>
    <w:rsid w:val="005E60D2"/>
    <w:rsid w:val="005E61AC"/>
    <w:rsid w:val="005E62C1"/>
    <w:rsid w:val="005E69C0"/>
    <w:rsid w:val="005E7EC3"/>
    <w:rsid w:val="005F06AC"/>
    <w:rsid w:val="005F107C"/>
    <w:rsid w:val="005F15A4"/>
    <w:rsid w:val="005F2008"/>
    <w:rsid w:val="005F20A1"/>
    <w:rsid w:val="005F241E"/>
    <w:rsid w:val="005F2903"/>
    <w:rsid w:val="005F2C57"/>
    <w:rsid w:val="005F3418"/>
    <w:rsid w:val="005F4517"/>
    <w:rsid w:val="005F5091"/>
    <w:rsid w:val="005F50E9"/>
    <w:rsid w:val="005F561A"/>
    <w:rsid w:val="005F5851"/>
    <w:rsid w:val="005F5A11"/>
    <w:rsid w:val="005F5A5B"/>
    <w:rsid w:val="005F635A"/>
    <w:rsid w:val="005F635C"/>
    <w:rsid w:val="005F6DA7"/>
    <w:rsid w:val="005F6F28"/>
    <w:rsid w:val="005F71D0"/>
    <w:rsid w:val="005F723D"/>
    <w:rsid w:val="005F7663"/>
    <w:rsid w:val="005F772E"/>
    <w:rsid w:val="005F794C"/>
    <w:rsid w:val="005F7A2B"/>
    <w:rsid w:val="005F7C2F"/>
    <w:rsid w:val="00601697"/>
    <w:rsid w:val="006027D9"/>
    <w:rsid w:val="00603107"/>
    <w:rsid w:val="00603265"/>
    <w:rsid w:val="006039F3"/>
    <w:rsid w:val="00603C67"/>
    <w:rsid w:val="00603E8C"/>
    <w:rsid w:val="00604203"/>
    <w:rsid w:val="00604DE9"/>
    <w:rsid w:val="00605E8F"/>
    <w:rsid w:val="006065BA"/>
    <w:rsid w:val="006071BE"/>
    <w:rsid w:val="00610294"/>
    <w:rsid w:val="00610870"/>
    <w:rsid w:val="00610E74"/>
    <w:rsid w:val="0061115A"/>
    <w:rsid w:val="00611999"/>
    <w:rsid w:val="00611BC4"/>
    <w:rsid w:val="00611D92"/>
    <w:rsid w:val="00612050"/>
    <w:rsid w:val="0061277B"/>
    <w:rsid w:val="006128F1"/>
    <w:rsid w:val="0061359D"/>
    <w:rsid w:val="00613FB9"/>
    <w:rsid w:val="006141DB"/>
    <w:rsid w:val="0061441B"/>
    <w:rsid w:val="006145B4"/>
    <w:rsid w:val="006146DB"/>
    <w:rsid w:val="006147B4"/>
    <w:rsid w:val="00614827"/>
    <w:rsid w:val="00614937"/>
    <w:rsid w:val="00614AAE"/>
    <w:rsid w:val="00614F27"/>
    <w:rsid w:val="00614F60"/>
    <w:rsid w:val="00615DA0"/>
    <w:rsid w:val="0061616E"/>
    <w:rsid w:val="00616DB9"/>
    <w:rsid w:val="006203FA"/>
    <w:rsid w:val="0062043B"/>
    <w:rsid w:val="006205C8"/>
    <w:rsid w:val="00620CFA"/>
    <w:rsid w:val="00621492"/>
    <w:rsid w:val="00621793"/>
    <w:rsid w:val="00621B8B"/>
    <w:rsid w:val="00621E88"/>
    <w:rsid w:val="00622298"/>
    <w:rsid w:val="00622301"/>
    <w:rsid w:val="006223E9"/>
    <w:rsid w:val="00623087"/>
    <w:rsid w:val="00623219"/>
    <w:rsid w:val="00623A15"/>
    <w:rsid w:val="00624530"/>
    <w:rsid w:val="00624FC2"/>
    <w:rsid w:val="0062527C"/>
    <w:rsid w:val="00625B5C"/>
    <w:rsid w:val="00625B7A"/>
    <w:rsid w:val="006264F1"/>
    <w:rsid w:val="00627192"/>
    <w:rsid w:val="006272D7"/>
    <w:rsid w:val="00627D20"/>
    <w:rsid w:val="006304D7"/>
    <w:rsid w:val="0063053B"/>
    <w:rsid w:val="00631427"/>
    <w:rsid w:val="00632E49"/>
    <w:rsid w:val="00633803"/>
    <w:rsid w:val="00633987"/>
    <w:rsid w:val="0063512C"/>
    <w:rsid w:val="00635EA5"/>
    <w:rsid w:val="00636F0B"/>
    <w:rsid w:val="00637016"/>
    <w:rsid w:val="00637131"/>
    <w:rsid w:val="00637162"/>
    <w:rsid w:val="00637367"/>
    <w:rsid w:val="00637EBA"/>
    <w:rsid w:val="00640BB7"/>
    <w:rsid w:val="0064118F"/>
    <w:rsid w:val="00642658"/>
    <w:rsid w:val="006427FE"/>
    <w:rsid w:val="0064382F"/>
    <w:rsid w:val="00643B10"/>
    <w:rsid w:val="00643B77"/>
    <w:rsid w:val="00643B94"/>
    <w:rsid w:val="00643D79"/>
    <w:rsid w:val="0064430F"/>
    <w:rsid w:val="006454BB"/>
    <w:rsid w:val="006457E1"/>
    <w:rsid w:val="00645EC2"/>
    <w:rsid w:val="00646F1C"/>
    <w:rsid w:val="0064705D"/>
    <w:rsid w:val="00647146"/>
    <w:rsid w:val="00647432"/>
    <w:rsid w:val="00647521"/>
    <w:rsid w:val="00647641"/>
    <w:rsid w:val="00647AAA"/>
    <w:rsid w:val="00647EE3"/>
    <w:rsid w:val="0065126F"/>
    <w:rsid w:val="0065147E"/>
    <w:rsid w:val="00651F22"/>
    <w:rsid w:val="00651F56"/>
    <w:rsid w:val="006521EA"/>
    <w:rsid w:val="00652553"/>
    <w:rsid w:val="006528FD"/>
    <w:rsid w:val="00652C3F"/>
    <w:rsid w:val="006530F1"/>
    <w:rsid w:val="0065310A"/>
    <w:rsid w:val="00653D62"/>
    <w:rsid w:val="00653E6A"/>
    <w:rsid w:val="00654141"/>
    <w:rsid w:val="00654A4C"/>
    <w:rsid w:val="00655658"/>
    <w:rsid w:val="00656288"/>
    <w:rsid w:val="00656314"/>
    <w:rsid w:val="00656577"/>
    <w:rsid w:val="00656785"/>
    <w:rsid w:val="00656E25"/>
    <w:rsid w:val="0065756B"/>
    <w:rsid w:val="0065760F"/>
    <w:rsid w:val="00657894"/>
    <w:rsid w:val="006602A4"/>
    <w:rsid w:val="00660841"/>
    <w:rsid w:val="00661552"/>
    <w:rsid w:val="00661839"/>
    <w:rsid w:val="00661882"/>
    <w:rsid w:val="00661A8C"/>
    <w:rsid w:val="00662345"/>
    <w:rsid w:val="00662870"/>
    <w:rsid w:val="0066352C"/>
    <w:rsid w:val="0066387C"/>
    <w:rsid w:val="00663FBA"/>
    <w:rsid w:val="0066408B"/>
    <w:rsid w:val="00664753"/>
    <w:rsid w:val="00664867"/>
    <w:rsid w:val="00664BDC"/>
    <w:rsid w:val="00664ED7"/>
    <w:rsid w:val="00664FEC"/>
    <w:rsid w:val="00665009"/>
    <w:rsid w:val="006658BE"/>
    <w:rsid w:val="00665B06"/>
    <w:rsid w:val="00665BBF"/>
    <w:rsid w:val="00665BD2"/>
    <w:rsid w:val="00665EFC"/>
    <w:rsid w:val="00670BC9"/>
    <w:rsid w:val="00671AA0"/>
    <w:rsid w:val="00671BB5"/>
    <w:rsid w:val="00672198"/>
    <w:rsid w:val="006723A0"/>
    <w:rsid w:val="00672ABD"/>
    <w:rsid w:val="00672FB5"/>
    <w:rsid w:val="00673D44"/>
    <w:rsid w:val="00673F8F"/>
    <w:rsid w:val="00674460"/>
    <w:rsid w:val="00674CEA"/>
    <w:rsid w:val="0067539C"/>
    <w:rsid w:val="0067562D"/>
    <w:rsid w:val="00675B08"/>
    <w:rsid w:val="0067601E"/>
    <w:rsid w:val="0067612C"/>
    <w:rsid w:val="006765C2"/>
    <w:rsid w:val="00676B5A"/>
    <w:rsid w:val="00676C81"/>
    <w:rsid w:val="00676EBC"/>
    <w:rsid w:val="00677DDA"/>
    <w:rsid w:val="0068117C"/>
    <w:rsid w:val="00681E26"/>
    <w:rsid w:val="006821F2"/>
    <w:rsid w:val="006827C6"/>
    <w:rsid w:val="006829EF"/>
    <w:rsid w:val="00683572"/>
    <w:rsid w:val="00683611"/>
    <w:rsid w:val="00683E56"/>
    <w:rsid w:val="006841CF"/>
    <w:rsid w:val="006843AB"/>
    <w:rsid w:val="00684564"/>
    <w:rsid w:val="0068483A"/>
    <w:rsid w:val="00684F4A"/>
    <w:rsid w:val="00685914"/>
    <w:rsid w:val="00686B27"/>
    <w:rsid w:val="00686EA8"/>
    <w:rsid w:val="006870C8"/>
    <w:rsid w:val="006872FB"/>
    <w:rsid w:val="00687365"/>
    <w:rsid w:val="00687515"/>
    <w:rsid w:val="00687EE9"/>
    <w:rsid w:val="00690589"/>
    <w:rsid w:val="006908B1"/>
    <w:rsid w:val="00691065"/>
    <w:rsid w:val="006910FF"/>
    <w:rsid w:val="006912DD"/>
    <w:rsid w:val="0069148F"/>
    <w:rsid w:val="0069163A"/>
    <w:rsid w:val="006923F6"/>
    <w:rsid w:val="0069271F"/>
    <w:rsid w:val="00692E05"/>
    <w:rsid w:val="00693151"/>
    <w:rsid w:val="00693CAD"/>
    <w:rsid w:val="006945CB"/>
    <w:rsid w:val="00695061"/>
    <w:rsid w:val="00695563"/>
    <w:rsid w:val="006960E9"/>
    <w:rsid w:val="00696126"/>
    <w:rsid w:val="00696433"/>
    <w:rsid w:val="006976EF"/>
    <w:rsid w:val="006978C5"/>
    <w:rsid w:val="006A00D3"/>
    <w:rsid w:val="006A0337"/>
    <w:rsid w:val="006A052D"/>
    <w:rsid w:val="006A063B"/>
    <w:rsid w:val="006A0B5C"/>
    <w:rsid w:val="006A0ED9"/>
    <w:rsid w:val="006A10F7"/>
    <w:rsid w:val="006A148C"/>
    <w:rsid w:val="006A151E"/>
    <w:rsid w:val="006A174F"/>
    <w:rsid w:val="006A1DD0"/>
    <w:rsid w:val="006A2E27"/>
    <w:rsid w:val="006A3166"/>
    <w:rsid w:val="006A327C"/>
    <w:rsid w:val="006A36F2"/>
    <w:rsid w:val="006A3FDA"/>
    <w:rsid w:val="006A413D"/>
    <w:rsid w:val="006A4290"/>
    <w:rsid w:val="006A4FAB"/>
    <w:rsid w:val="006A54EE"/>
    <w:rsid w:val="006A59A7"/>
    <w:rsid w:val="006A59B0"/>
    <w:rsid w:val="006A5D69"/>
    <w:rsid w:val="006A60D6"/>
    <w:rsid w:val="006A6203"/>
    <w:rsid w:val="006A62B3"/>
    <w:rsid w:val="006A6319"/>
    <w:rsid w:val="006A6A27"/>
    <w:rsid w:val="006A6D16"/>
    <w:rsid w:val="006A7FCD"/>
    <w:rsid w:val="006B00D6"/>
    <w:rsid w:val="006B01DA"/>
    <w:rsid w:val="006B02AB"/>
    <w:rsid w:val="006B0967"/>
    <w:rsid w:val="006B0C3B"/>
    <w:rsid w:val="006B0D98"/>
    <w:rsid w:val="006B23D8"/>
    <w:rsid w:val="006B271F"/>
    <w:rsid w:val="006B276A"/>
    <w:rsid w:val="006B32C3"/>
    <w:rsid w:val="006B430F"/>
    <w:rsid w:val="006B5392"/>
    <w:rsid w:val="006B5C9B"/>
    <w:rsid w:val="006B602A"/>
    <w:rsid w:val="006B6E4A"/>
    <w:rsid w:val="006B7328"/>
    <w:rsid w:val="006B7BD0"/>
    <w:rsid w:val="006C0093"/>
    <w:rsid w:val="006C0957"/>
    <w:rsid w:val="006C18A6"/>
    <w:rsid w:val="006C1F5C"/>
    <w:rsid w:val="006C2486"/>
    <w:rsid w:val="006C35D1"/>
    <w:rsid w:val="006C3840"/>
    <w:rsid w:val="006C397C"/>
    <w:rsid w:val="006C3B21"/>
    <w:rsid w:val="006C3FFE"/>
    <w:rsid w:val="006C484E"/>
    <w:rsid w:val="006C51BA"/>
    <w:rsid w:val="006C5508"/>
    <w:rsid w:val="006C58EE"/>
    <w:rsid w:val="006C600A"/>
    <w:rsid w:val="006C6664"/>
    <w:rsid w:val="006C6EAC"/>
    <w:rsid w:val="006C6F57"/>
    <w:rsid w:val="006C739B"/>
    <w:rsid w:val="006D077E"/>
    <w:rsid w:val="006D09B2"/>
    <w:rsid w:val="006D0F80"/>
    <w:rsid w:val="006D12F3"/>
    <w:rsid w:val="006D2035"/>
    <w:rsid w:val="006D251C"/>
    <w:rsid w:val="006D2CBE"/>
    <w:rsid w:val="006D3FC8"/>
    <w:rsid w:val="006D4163"/>
    <w:rsid w:val="006D4577"/>
    <w:rsid w:val="006D45C4"/>
    <w:rsid w:val="006D46D7"/>
    <w:rsid w:val="006D4ABB"/>
    <w:rsid w:val="006D54C6"/>
    <w:rsid w:val="006D564A"/>
    <w:rsid w:val="006D582D"/>
    <w:rsid w:val="006D6732"/>
    <w:rsid w:val="006D717B"/>
    <w:rsid w:val="006D722F"/>
    <w:rsid w:val="006D79A9"/>
    <w:rsid w:val="006D7D75"/>
    <w:rsid w:val="006E0108"/>
    <w:rsid w:val="006E01D4"/>
    <w:rsid w:val="006E01EF"/>
    <w:rsid w:val="006E01F8"/>
    <w:rsid w:val="006E115C"/>
    <w:rsid w:val="006E1426"/>
    <w:rsid w:val="006E1465"/>
    <w:rsid w:val="006E17BF"/>
    <w:rsid w:val="006E1A38"/>
    <w:rsid w:val="006E1BC9"/>
    <w:rsid w:val="006E1F84"/>
    <w:rsid w:val="006E2241"/>
    <w:rsid w:val="006E2F71"/>
    <w:rsid w:val="006E4992"/>
    <w:rsid w:val="006E544E"/>
    <w:rsid w:val="006E564C"/>
    <w:rsid w:val="006E5AE6"/>
    <w:rsid w:val="006E6097"/>
    <w:rsid w:val="006E681E"/>
    <w:rsid w:val="006E7012"/>
    <w:rsid w:val="006E7DDE"/>
    <w:rsid w:val="006E7FDE"/>
    <w:rsid w:val="006F07BE"/>
    <w:rsid w:val="006F0FA9"/>
    <w:rsid w:val="006F0FDC"/>
    <w:rsid w:val="006F1DF7"/>
    <w:rsid w:val="006F2013"/>
    <w:rsid w:val="006F2491"/>
    <w:rsid w:val="006F24A7"/>
    <w:rsid w:val="006F24EB"/>
    <w:rsid w:val="006F2711"/>
    <w:rsid w:val="006F2713"/>
    <w:rsid w:val="006F3693"/>
    <w:rsid w:val="006F59E9"/>
    <w:rsid w:val="006F5C07"/>
    <w:rsid w:val="006F65D9"/>
    <w:rsid w:val="006F6630"/>
    <w:rsid w:val="006F678A"/>
    <w:rsid w:val="006F6A31"/>
    <w:rsid w:val="006F7043"/>
    <w:rsid w:val="006F722F"/>
    <w:rsid w:val="007004DE"/>
    <w:rsid w:val="007005EE"/>
    <w:rsid w:val="0070073F"/>
    <w:rsid w:val="00700B17"/>
    <w:rsid w:val="00700E3F"/>
    <w:rsid w:val="00701020"/>
    <w:rsid w:val="0070190B"/>
    <w:rsid w:val="00701E12"/>
    <w:rsid w:val="007020C6"/>
    <w:rsid w:val="007033D7"/>
    <w:rsid w:val="0070414A"/>
    <w:rsid w:val="00704920"/>
    <w:rsid w:val="00704BB7"/>
    <w:rsid w:val="00704BEE"/>
    <w:rsid w:val="00705245"/>
    <w:rsid w:val="00705A4F"/>
    <w:rsid w:val="00705F3B"/>
    <w:rsid w:val="00706438"/>
    <w:rsid w:val="00706549"/>
    <w:rsid w:val="00706756"/>
    <w:rsid w:val="007069E0"/>
    <w:rsid w:val="00706C12"/>
    <w:rsid w:val="0070764B"/>
    <w:rsid w:val="007078DE"/>
    <w:rsid w:val="00707A88"/>
    <w:rsid w:val="00707E37"/>
    <w:rsid w:val="00707FF3"/>
    <w:rsid w:val="007107B7"/>
    <w:rsid w:val="00710C6D"/>
    <w:rsid w:val="00710DDC"/>
    <w:rsid w:val="007125F8"/>
    <w:rsid w:val="00712953"/>
    <w:rsid w:val="00713893"/>
    <w:rsid w:val="00714365"/>
    <w:rsid w:val="00714612"/>
    <w:rsid w:val="00715A49"/>
    <w:rsid w:val="00715C8C"/>
    <w:rsid w:val="00717038"/>
    <w:rsid w:val="007175F9"/>
    <w:rsid w:val="00720242"/>
    <w:rsid w:val="0072071C"/>
    <w:rsid w:val="007207C3"/>
    <w:rsid w:val="007209B1"/>
    <w:rsid w:val="00720F49"/>
    <w:rsid w:val="00720FFF"/>
    <w:rsid w:val="00721BD0"/>
    <w:rsid w:val="00721C6F"/>
    <w:rsid w:val="00722262"/>
    <w:rsid w:val="0072252E"/>
    <w:rsid w:val="007225D4"/>
    <w:rsid w:val="007229BB"/>
    <w:rsid w:val="00722E3C"/>
    <w:rsid w:val="00722E6E"/>
    <w:rsid w:val="00723F14"/>
    <w:rsid w:val="00724093"/>
    <w:rsid w:val="007240D4"/>
    <w:rsid w:val="007241B1"/>
    <w:rsid w:val="007244AF"/>
    <w:rsid w:val="0072452A"/>
    <w:rsid w:val="00724816"/>
    <w:rsid w:val="007257DF"/>
    <w:rsid w:val="00725EBF"/>
    <w:rsid w:val="007262AD"/>
    <w:rsid w:val="0072637B"/>
    <w:rsid w:val="0072732B"/>
    <w:rsid w:val="0072732E"/>
    <w:rsid w:val="00730682"/>
    <w:rsid w:val="007308D4"/>
    <w:rsid w:val="0073171C"/>
    <w:rsid w:val="00731C28"/>
    <w:rsid w:val="00731CDE"/>
    <w:rsid w:val="00733191"/>
    <w:rsid w:val="0073407A"/>
    <w:rsid w:val="00734275"/>
    <w:rsid w:val="007349D5"/>
    <w:rsid w:val="00734B28"/>
    <w:rsid w:val="00734DBB"/>
    <w:rsid w:val="00735167"/>
    <w:rsid w:val="007355E5"/>
    <w:rsid w:val="007358FF"/>
    <w:rsid w:val="00736444"/>
    <w:rsid w:val="00736454"/>
    <w:rsid w:val="00736A3A"/>
    <w:rsid w:val="00736BC9"/>
    <w:rsid w:val="00736D20"/>
    <w:rsid w:val="00736DD1"/>
    <w:rsid w:val="007370E7"/>
    <w:rsid w:val="00737116"/>
    <w:rsid w:val="00737EDC"/>
    <w:rsid w:val="007402CC"/>
    <w:rsid w:val="007403BB"/>
    <w:rsid w:val="00740760"/>
    <w:rsid w:val="007407E1"/>
    <w:rsid w:val="0074091A"/>
    <w:rsid w:val="00740C20"/>
    <w:rsid w:val="007412AE"/>
    <w:rsid w:val="0074174D"/>
    <w:rsid w:val="00741EFA"/>
    <w:rsid w:val="0074231F"/>
    <w:rsid w:val="007424E7"/>
    <w:rsid w:val="0074264F"/>
    <w:rsid w:val="007427AC"/>
    <w:rsid w:val="007429D7"/>
    <w:rsid w:val="00742A06"/>
    <w:rsid w:val="00742E1C"/>
    <w:rsid w:val="00742F90"/>
    <w:rsid w:val="007437CD"/>
    <w:rsid w:val="0074396A"/>
    <w:rsid w:val="00745437"/>
    <w:rsid w:val="00746B08"/>
    <w:rsid w:val="00747405"/>
    <w:rsid w:val="0074799A"/>
    <w:rsid w:val="00747AB0"/>
    <w:rsid w:val="00747E71"/>
    <w:rsid w:val="00750490"/>
    <w:rsid w:val="00750F19"/>
    <w:rsid w:val="00751777"/>
    <w:rsid w:val="007517E1"/>
    <w:rsid w:val="00751D9E"/>
    <w:rsid w:val="00751DFF"/>
    <w:rsid w:val="00751E34"/>
    <w:rsid w:val="00752014"/>
    <w:rsid w:val="00752616"/>
    <w:rsid w:val="00752BD5"/>
    <w:rsid w:val="00753465"/>
    <w:rsid w:val="00753E9C"/>
    <w:rsid w:val="007541F4"/>
    <w:rsid w:val="007548DD"/>
    <w:rsid w:val="00755D21"/>
    <w:rsid w:val="00756271"/>
    <w:rsid w:val="00756B64"/>
    <w:rsid w:val="00756D7E"/>
    <w:rsid w:val="00757066"/>
    <w:rsid w:val="007575E9"/>
    <w:rsid w:val="0075792F"/>
    <w:rsid w:val="00760191"/>
    <w:rsid w:val="007601D0"/>
    <w:rsid w:val="00760343"/>
    <w:rsid w:val="00760501"/>
    <w:rsid w:val="007605BD"/>
    <w:rsid w:val="00760E14"/>
    <w:rsid w:val="00761740"/>
    <w:rsid w:val="00761A19"/>
    <w:rsid w:val="0076346A"/>
    <w:rsid w:val="007638BF"/>
    <w:rsid w:val="0076397B"/>
    <w:rsid w:val="007646FA"/>
    <w:rsid w:val="00765516"/>
    <w:rsid w:val="007655DC"/>
    <w:rsid w:val="00765D6B"/>
    <w:rsid w:val="007662FD"/>
    <w:rsid w:val="007668AE"/>
    <w:rsid w:val="00767EEE"/>
    <w:rsid w:val="0077032C"/>
    <w:rsid w:val="00770A98"/>
    <w:rsid w:val="00770D64"/>
    <w:rsid w:val="00770EBA"/>
    <w:rsid w:val="00771291"/>
    <w:rsid w:val="007712E6"/>
    <w:rsid w:val="007716A6"/>
    <w:rsid w:val="007719C2"/>
    <w:rsid w:val="00771DD6"/>
    <w:rsid w:val="00771F70"/>
    <w:rsid w:val="00772C84"/>
    <w:rsid w:val="0077382D"/>
    <w:rsid w:val="00773B57"/>
    <w:rsid w:val="00774CA4"/>
    <w:rsid w:val="00774DDF"/>
    <w:rsid w:val="00774F3C"/>
    <w:rsid w:val="0077516A"/>
    <w:rsid w:val="0077570B"/>
    <w:rsid w:val="00775DDA"/>
    <w:rsid w:val="00775EE1"/>
    <w:rsid w:val="007762B7"/>
    <w:rsid w:val="007762F1"/>
    <w:rsid w:val="00776778"/>
    <w:rsid w:val="00777517"/>
    <w:rsid w:val="007776CF"/>
    <w:rsid w:val="00777AB8"/>
    <w:rsid w:val="00780027"/>
    <w:rsid w:val="007801B1"/>
    <w:rsid w:val="00780242"/>
    <w:rsid w:val="007802D1"/>
    <w:rsid w:val="00780D2E"/>
    <w:rsid w:val="00780E82"/>
    <w:rsid w:val="00781266"/>
    <w:rsid w:val="007814B1"/>
    <w:rsid w:val="00782169"/>
    <w:rsid w:val="00782173"/>
    <w:rsid w:val="0078316F"/>
    <w:rsid w:val="0078335F"/>
    <w:rsid w:val="00783426"/>
    <w:rsid w:val="00783C9D"/>
    <w:rsid w:val="00784242"/>
    <w:rsid w:val="0078487C"/>
    <w:rsid w:val="00785322"/>
    <w:rsid w:val="007853F9"/>
    <w:rsid w:val="0078548D"/>
    <w:rsid w:val="00785BF4"/>
    <w:rsid w:val="00785C72"/>
    <w:rsid w:val="00786010"/>
    <w:rsid w:val="007861B1"/>
    <w:rsid w:val="0078639A"/>
    <w:rsid w:val="0078672F"/>
    <w:rsid w:val="00786818"/>
    <w:rsid w:val="00786AF7"/>
    <w:rsid w:val="00787114"/>
    <w:rsid w:val="0078760D"/>
    <w:rsid w:val="0078768F"/>
    <w:rsid w:val="00790106"/>
    <w:rsid w:val="0079020D"/>
    <w:rsid w:val="007904F0"/>
    <w:rsid w:val="00790ADF"/>
    <w:rsid w:val="0079163C"/>
    <w:rsid w:val="0079258C"/>
    <w:rsid w:val="00792C4B"/>
    <w:rsid w:val="0079307E"/>
    <w:rsid w:val="007935E2"/>
    <w:rsid w:val="00793DC2"/>
    <w:rsid w:val="00793DF5"/>
    <w:rsid w:val="00793EB6"/>
    <w:rsid w:val="00794005"/>
    <w:rsid w:val="0079412C"/>
    <w:rsid w:val="00794209"/>
    <w:rsid w:val="00794309"/>
    <w:rsid w:val="0079446B"/>
    <w:rsid w:val="00794BED"/>
    <w:rsid w:val="007959BF"/>
    <w:rsid w:val="00795AB1"/>
    <w:rsid w:val="00796011"/>
    <w:rsid w:val="00796B61"/>
    <w:rsid w:val="007A0CE4"/>
    <w:rsid w:val="007A1684"/>
    <w:rsid w:val="007A1D02"/>
    <w:rsid w:val="007A1D1B"/>
    <w:rsid w:val="007A2E1F"/>
    <w:rsid w:val="007A339F"/>
    <w:rsid w:val="007A3B45"/>
    <w:rsid w:val="007A3D94"/>
    <w:rsid w:val="007A3E03"/>
    <w:rsid w:val="007A48CE"/>
    <w:rsid w:val="007A4B06"/>
    <w:rsid w:val="007A60A9"/>
    <w:rsid w:val="007A62DC"/>
    <w:rsid w:val="007A639E"/>
    <w:rsid w:val="007A6D3F"/>
    <w:rsid w:val="007A7379"/>
    <w:rsid w:val="007A7391"/>
    <w:rsid w:val="007A774A"/>
    <w:rsid w:val="007A78D4"/>
    <w:rsid w:val="007A7C95"/>
    <w:rsid w:val="007A7D17"/>
    <w:rsid w:val="007B047A"/>
    <w:rsid w:val="007B08D1"/>
    <w:rsid w:val="007B0CA2"/>
    <w:rsid w:val="007B1049"/>
    <w:rsid w:val="007B121C"/>
    <w:rsid w:val="007B142D"/>
    <w:rsid w:val="007B145B"/>
    <w:rsid w:val="007B14ED"/>
    <w:rsid w:val="007B1B0B"/>
    <w:rsid w:val="007B3C8A"/>
    <w:rsid w:val="007B53CF"/>
    <w:rsid w:val="007B5764"/>
    <w:rsid w:val="007B5A8E"/>
    <w:rsid w:val="007B61D9"/>
    <w:rsid w:val="007B6D47"/>
    <w:rsid w:val="007B6EBD"/>
    <w:rsid w:val="007B6F17"/>
    <w:rsid w:val="007B709A"/>
    <w:rsid w:val="007B7BE0"/>
    <w:rsid w:val="007C014B"/>
    <w:rsid w:val="007C018D"/>
    <w:rsid w:val="007C0A39"/>
    <w:rsid w:val="007C0B3E"/>
    <w:rsid w:val="007C0DF4"/>
    <w:rsid w:val="007C2C04"/>
    <w:rsid w:val="007C2C09"/>
    <w:rsid w:val="007C31F0"/>
    <w:rsid w:val="007C332D"/>
    <w:rsid w:val="007C3BF4"/>
    <w:rsid w:val="007C3C9A"/>
    <w:rsid w:val="007C43BD"/>
    <w:rsid w:val="007C44EC"/>
    <w:rsid w:val="007C45E9"/>
    <w:rsid w:val="007C4E5E"/>
    <w:rsid w:val="007C53C3"/>
    <w:rsid w:val="007C5952"/>
    <w:rsid w:val="007C62B4"/>
    <w:rsid w:val="007C6BC8"/>
    <w:rsid w:val="007C7081"/>
    <w:rsid w:val="007C730C"/>
    <w:rsid w:val="007D02BC"/>
    <w:rsid w:val="007D081B"/>
    <w:rsid w:val="007D1862"/>
    <w:rsid w:val="007D198D"/>
    <w:rsid w:val="007D1E4C"/>
    <w:rsid w:val="007D23B5"/>
    <w:rsid w:val="007D2AE4"/>
    <w:rsid w:val="007D347A"/>
    <w:rsid w:val="007D3737"/>
    <w:rsid w:val="007D4213"/>
    <w:rsid w:val="007D4B39"/>
    <w:rsid w:val="007D4BE7"/>
    <w:rsid w:val="007D4FEA"/>
    <w:rsid w:val="007D5787"/>
    <w:rsid w:val="007D63FA"/>
    <w:rsid w:val="007D6D5D"/>
    <w:rsid w:val="007D76BB"/>
    <w:rsid w:val="007D7903"/>
    <w:rsid w:val="007D7913"/>
    <w:rsid w:val="007D7A83"/>
    <w:rsid w:val="007D7FE0"/>
    <w:rsid w:val="007E001D"/>
    <w:rsid w:val="007E06F0"/>
    <w:rsid w:val="007E0704"/>
    <w:rsid w:val="007E0A08"/>
    <w:rsid w:val="007E135B"/>
    <w:rsid w:val="007E13C5"/>
    <w:rsid w:val="007E17DD"/>
    <w:rsid w:val="007E1887"/>
    <w:rsid w:val="007E1DB6"/>
    <w:rsid w:val="007E20F1"/>
    <w:rsid w:val="007E222A"/>
    <w:rsid w:val="007E23FF"/>
    <w:rsid w:val="007E2E9A"/>
    <w:rsid w:val="007E3B63"/>
    <w:rsid w:val="007E40E9"/>
    <w:rsid w:val="007E42EE"/>
    <w:rsid w:val="007E437D"/>
    <w:rsid w:val="007E4B2B"/>
    <w:rsid w:val="007E4BE1"/>
    <w:rsid w:val="007E597E"/>
    <w:rsid w:val="007E5B6E"/>
    <w:rsid w:val="007E7CC2"/>
    <w:rsid w:val="007E7CDE"/>
    <w:rsid w:val="007E7E7A"/>
    <w:rsid w:val="007F0135"/>
    <w:rsid w:val="007F0297"/>
    <w:rsid w:val="007F0394"/>
    <w:rsid w:val="007F0535"/>
    <w:rsid w:val="007F0757"/>
    <w:rsid w:val="007F1236"/>
    <w:rsid w:val="007F12EB"/>
    <w:rsid w:val="007F1742"/>
    <w:rsid w:val="007F1D93"/>
    <w:rsid w:val="007F2114"/>
    <w:rsid w:val="007F2367"/>
    <w:rsid w:val="007F29E6"/>
    <w:rsid w:val="007F33E9"/>
    <w:rsid w:val="007F37D6"/>
    <w:rsid w:val="007F4448"/>
    <w:rsid w:val="007F453F"/>
    <w:rsid w:val="007F5040"/>
    <w:rsid w:val="007F5534"/>
    <w:rsid w:val="007F5737"/>
    <w:rsid w:val="007F6AFE"/>
    <w:rsid w:val="007F6B10"/>
    <w:rsid w:val="007F6D28"/>
    <w:rsid w:val="007F6E38"/>
    <w:rsid w:val="007F7445"/>
    <w:rsid w:val="00800B86"/>
    <w:rsid w:val="00800EF6"/>
    <w:rsid w:val="0080145E"/>
    <w:rsid w:val="00801781"/>
    <w:rsid w:val="00801C7A"/>
    <w:rsid w:val="00802502"/>
    <w:rsid w:val="008025B3"/>
    <w:rsid w:val="00803577"/>
    <w:rsid w:val="00803B70"/>
    <w:rsid w:val="00804D5A"/>
    <w:rsid w:val="00805212"/>
    <w:rsid w:val="0080560F"/>
    <w:rsid w:val="00805B58"/>
    <w:rsid w:val="00806E0A"/>
    <w:rsid w:val="00807A49"/>
    <w:rsid w:val="00807C36"/>
    <w:rsid w:val="00807DCF"/>
    <w:rsid w:val="008104DB"/>
    <w:rsid w:val="00810FAA"/>
    <w:rsid w:val="00812A38"/>
    <w:rsid w:val="00812B7D"/>
    <w:rsid w:val="00812BDF"/>
    <w:rsid w:val="00813519"/>
    <w:rsid w:val="00813A3F"/>
    <w:rsid w:val="00814675"/>
    <w:rsid w:val="00814959"/>
    <w:rsid w:val="00814AD3"/>
    <w:rsid w:val="00814DF5"/>
    <w:rsid w:val="0081584E"/>
    <w:rsid w:val="008158BD"/>
    <w:rsid w:val="00816037"/>
    <w:rsid w:val="00816908"/>
    <w:rsid w:val="00816912"/>
    <w:rsid w:val="008169E1"/>
    <w:rsid w:val="00816B93"/>
    <w:rsid w:val="00816BB5"/>
    <w:rsid w:val="00816DEA"/>
    <w:rsid w:val="0082008C"/>
    <w:rsid w:val="00820177"/>
    <w:rsid w:val="00820A37"/>
    <w:rsid w:val="00820CD0"/>
    <w:rsid w:val="0082191F"/>
    <w:rsid w:val="00821FA7"/>
    <w:rsid w:val="00822312"/>
    <w:rsid w:val="00822658"/>
    <w:rsid w:val="00822757"/>
    <w:rsid w:val="00822A7D"/>
    <w:rsid w:val="00822C32"/>
    <w:rsid w:val="00822C48"/>
    <w:rsid w:val="00822D42"/>
    <w:rsid w:val="00823658"/>
    <w:rsid w:val="00823AA0"/>
    <w:rsid w:val="00824B26"/>
    <w:rsid w:val="00825174"/>
    <w:rsid w:val="008254F0"/>
    <w:rsid w:val="0082558D"/>
    <w:rsid w:val="0082672B"/>
    <w:rsid w:val="00826A26"/>
    <w:rsid w:val="00827B07"/>
    <w:rsid w:val="00827DB8"/>
    <w:rsid w:val="0083051F"/>
    <w:rsid w:val="00830B88"/>
    <w:rsid w:val="00830EE9"/>
    <w:rsid w:val="008312E8"/>
    <w:rsid w:val="008322D8"/>
    <w:rsid w:val="00832634"/>
    <w:rsid w:val="00832A8B"/>
    <w:rsid w:val="00832E37"/>
    <w:rsid w:val="00833A1D"/>
    <w:rsid w:val="00833EC6"/>
    <w:rsid w:val="0083419F"/>
    <w:rsid w:val="008353A4"/>
    <w:rsid w:val="008361B0"/>
    <w:rsid w:val="008361DE"/>
    <w:rsid w:val="00836439"/>
    <w:rsid w:val="0083705D"/>
    <w:rsid w:val="0083787E"/>
    <w:rsid w:val="008402D1"/>
    <w:rsid w:val="00840605"/>
    <w:rsid w:val="008407DB"/>
    <w:rsid w:val="00840CB3"/>
    <w:rsid w:val="00841008"/>
    <w:rsid w:val="00841F14"/>
    <w:rsid w:val="00841FC2"/>
    <w:rsid w:val="00842E6B"/>
    <w:rsid w:val="00843BB3"/>
    <w:rsid w:val="00844429"/>
    <w:rsid w:val="00844B7D"/>
    <w:rsid w:val="00845917"/>
    <w:rsid w:val="00845BD7"/>
    <w:rsid w:val="00845BDD"/>
    <w:rsid w:val="00845DED"/>
    <w:rsid w:val="00846230"/>
    <w:rsid w:val="008463AE"/>
    <w:rsid w:val="00846647"/>
    <w:rsid w:val="00846E7A"/>
    <w:rsid w:val="00847080"/>
    <w:rsid w:val="008476DB"/>
    <w:rsid w:val="00847B96"/>
    <w:rsid w:val="00847D95"/>
    <w:rsid w:val="00850822"/>
    <w:rsid w:val="00850B84"/>
    <w:rsid w:val="00851677"/>
    <w:rsid w:val="00851BF9"/>
    <w:rsid w:val="00851C58"/>
    <w:rsid w:val="0085249E"/>
    <w:rsid w:val="00852C27"/>
    <w:rsid w:val="00853274"/>
    <w:rsid w:val="0085347A"/>
    <w:rsid w:val="00853500"/>
    <w:rsid w:val="0085359D"/>
    <w:rsid w:val="008536C6"/>
    <w:rsid w:val="00853AAF"/>
    <w:rsid w:val="00853C2B"/>
    <w:rsid w:val="0085408D"/>
    <w:rsid w:val="00854B50"/>
    <w:rsid w:val="00855301"/>
    <w:rsid w:val="00855678"/>
    <w:rsid w:val="00855802"/>
    <w:rsid w:val="00855B65"/>
    <w:rsid w:val="00855ED1"/>
    <w:rsid w:val="00855F3B"/>
    <w:rsid w:val="008566A6"/>
    <w:rsid w:val="008566FA"/>
    <w:rsid w:val="00856766"/>
    <w:rsid w:val="00856AFC"/>
    <w:rsid w:val="00856CE9"/>
    <w:rsid w:val="008572DF"/>
    <w:rsid w:val="008574D4"/>
    <w:rsid w:val="008577C4"/>
    <w:rsid w:val="00857E35"/>
    <w:rsid w:val="00857FF6"/>
    <w:rsid w:val="00857FF8"/>
    <w:rsid w:val="0086058C"/>
    <w:rsid w:val="008607AA"/>
    <w:rsid w:val="0086105D"/>
    <w:rsid w:val="00861E35"/>
    <w:rsid w:val="0086279B"/>
    <w:rsid w:val="00862939"/>
    <w:rsid w:val="00862FA9"/>
    <w:rsid w:val="00863553"/>
    <w:rsid w:val="00863688"/>
    <w:rsid w:val="0086379E"/>
    <w:rsid w:val="0086379F"/>
    <w:rsid w:val="00863F06"/>
    <w:rsid w:val="00864B2D"/>
    <w:rsid w:val="00864FBB"/>
    <w:rsid w:val="008650FA"/>
    <w:rsid w:val="0086579F"/>
    <w:rsid w:val="00865B1B"/>
    <w:rsid w:val="00865D8F"/>
    <w:rsid w:val="00865E97"/>
    <w:rsid w:val="00865F11"/>
    <w:rsid w:val="00866377"/>
    <w:rsid w:val="008663FE"/>
    <w:rsid w:val="00866423"/>
    <w:rsid w:val="00866EC4"/>
    <w:rsid w:val="0086735A"/>
    <w:rsid w:val="00867418"/>
    <w:rsid w:val="0086783A"/>
    <w:rsid w:val="008678B1"/>
    <w:rsid w:val="008678FD"/>
    <w:rsid w:val="00867A13"/>
    <w:rsid w:val="00867E54"/>
    <w:rsid w:val="0087005F"/>
    <w:rsid w:val="00870117"/>
    <w:rsid w:val="00870184"/>
    <w:rsid w:val="00870847"/>
    <w:rsid w:val="00870AAC"/>
    <w:rsid w:val="008712D0"/>
    <w:rsid w:val="008712ED"/>
    <w:rsid w:val="008713C3"/>
    <w:rsid w:val="00871823"/>
    <w:rsid w:val="00871885"/>
    <w:rsid w:val="0087191A"/>
    <w:rsid w:val="008732CF"/>
    <w:rsid w:val="0087332C"/>
    <w:rsid w:val="00873A28"/>
    <w:rsid w:val="00873C32"/>
    <w:rsid w:val="00874665"/>
    <w:rsid w:val="00874C6D"/>
    <w:rsid w:val="008752A1"/>
    <w:rsid w:val="00875824"/>
    <w:rsid w:val="00875F9F"/>
    <w:rsid w:val="008766E4"/>
    <w:rsid w:val="00876828"/>
    <w:rsid w:val="00876C49"/>
    <w:rsid w:val="00877514"/>
    <w:rsid w:val="00877D96"/>
    <w:rsid w:val="0088006B"/>
    <w:rsid w:val="00880425"/>
    <w:rsid w:val="00880C13"/>
    <w:rsid w:val="00880EDB"/>
    <w:rsid w:val="00881375"/>
    <w:rsid w:val="00881943"/>
    <w:rsid w:val="0088265A"/>
    <w:rsid w:val="008826F1"/>
    <w:rsid w:val="00882A1B"/>
    <w:rsid w:val="008833CD"/>
    <w:rsid w:val="00883446"/>
    <w:rsid w:val="00883563"/>
    <w:rsid w:val="008835E9"/>
    <w:rsid w:val="0088436E"/>
    <w:rsid w:val="00884BA3"/>
    <w:rsid w:val="008859C6"/>
    <w:rsid w:val="00885CEC"/>
    <w:rsid w:val="0088640E"/>
    <w:rsid w:val="008866D2"/>
    <w:rsid w:val="008867F8"/>
    <w:rsid w:val="0088691E"/>
    <w:rsid w:val="00886AC7"/>
    <w:rsid w:val="0088738F"/>
    <w:rsid w:val="008875A6"/>
    <w:rsid w:val="0088763F"/>
    <w:rsid w:val="00887F9D"/>
    <w:rsid w:val="00890554"/>
    <w:rsid w:val="00890663"/>
    <w:rsid w:val="0089197D"/>
    <w:rsid w:val="00892257"/>
    <w:rsid w:val="00892725"/>
    <w:rsid w:val="00892DED"/>
    <w:rsid w:val="00892E70"/>
    <w:rsid w:val="0089319C"/>
    <w:rsid w:val="00893254"/>
    <w:rsid w:val="00893470"/>
    <w:rsid w:val="0089499D"/>
    <w:rsid w:val="00894F7B"/>
    <w:rsid w:val="00895747"/>
    <w:rsid w:val="008958D5"/>
    <w:rsid w:val="00895D5E"/>
    <w:rsid w:val="0089636B"/>
    <w:rsid w:val="0089697E"/>
    <w:rsid w:val="00896C59"/>
    <w:rsid w:val="00896FE3"/>
    <w:rsid w:val="008972CF"/>
    <w:rsid w:val="008975F1"/>
    <w:rsid w:val="008979E0"/>
    <w:rsid w:val="00897C03"/>
    <w:rsid w:val="008A0170"/>
    <w:rsid w:val="008A0B71"/>
    <w:rsid w:val="008A0DA2"/>
    <w:rsid w:val="008A0F1A"/>
    <w:rsid w:val="008A1102"/>
    <w:rsid w:val="008A13DB"/>
    <w:rsid w:val="008A1C9D"/>
    <w:rsid w:val="008A1DC7"/>
    <w:rsid w:val="008A20E6"/>
    <w:rsid w:val="008A276B"/>
    <w:rsid w:val="008A37EE"/>
    <w:rsid w:val="008A4AB1"/>
    <w:rsid w:val="008A4EE0"/>
    <w:rsid w:val="008A50F7"/>
    <w:rsid w:val="008A5229"/>
    <w:rsid w:val="008A5431"/>
    <w:rsid w:val="008A5DB6"/>
    <w:rsid w:val="008A6D7A"/>
    <w:rsid w:val="008A729C"/>
    <w:rsid w:val="008A73C8"/>
    <w:rsid w:val="008A79F9"/>
    <w:rsid w:val="008A7B69"/>
    <w:rsid w:val="008A7EB4"/>
    <w:rsid w:val="008A7ED4"/>
    <w:rsid w:val="008B045E"/>
    <w:rsid w:val="008B0889"/>
    <w:rsid w:val="008B08D8"/>
    <w:rsid w:val="008B1342"/>
    <w:rsid w:val="008B229C"/>
    <w:rsid w:val="008B3B92"/>
    <w:rsid w:val="008B3BA5"/>
    <w:rsid w:val="008B4A4A"/>
    <w:rsid w:val="008B4C50"/>
    <w:rsid w:val="008B519D"/>
    <w:rsid w:val="008B5E0A"/>
    <w:rsid w:val="008B5FA0"/>
    <w:rsid w:val="008B6116"/>
    <w:rsid w:val="008B691C"/>
    <w:rsid w:val="008B6B9A"/>
    <w:rsid w:val="008B733D"/>
    <w:rsid w:val="008B7C40"/>
    <w:rsid w:val="008C04C2"/>
    <w:rsid w:val="008C079D"/>
    <w:rsid w:val="008C093B"/>
    <w:rsid w:val="008C0C65"/>
    <w:rsid w:val="008C0D69"/>
    <w:rsid w:val="008C1447"/>
    <w:rsid w:val="008C269A"/>
    <w:rsid w:val="008C28C1"/>
    <w:rsid w:val="008C2B9A"/>
    <w:rsid w:val="008C2F68"/>
    <w:rsid w:val="008C3C59"/>
    <w:rsid w:val="008C4348"/>
    <w:rsid w:val="008C457D"/>
    <w:rsid w:val="008C4D6A"/>
    <w:rsid w:val="008C5A6B"/>
    <w:rsid w:val="008C601C"/>
    <w:rsid w:val="008C6055"/>
    <w:rsid w:val="008C6170"/>
    <w:rsid w:val="008C62D9"/>
    <w:rsid w:val="008C6426"/>
    <w:rsid w:val="008C6D4B"/>
    <w:rsid w:val="008C6DAD"/>
    <w:rsid w:val="008C753B"/>
    <w:rsid w:val="008C79B2"/>
    <w:rsid w:val="008C7FCC"/>
    <w:rsid w:val="008D017C"/>
    <w:rsid w:val="008D04C5"/>
    <w:rsid w:val="008D0F8F"/>
    <w:rsid w:val="008D1576"/>
    <w:rsid w:val="008D1F74"/>
    <w:rsid w:val="008D2385"/>
    <w:rsid w:val="008D26C5"/>
    <w:rsid w:val="008D335A"/>
    <w:rsid w:val="008D380C"/>
    <w:rsid w:val="008D3AD7"/>
    <w:rsid w:val="008D3C8B"/>
    <w:rsid w:val="008D4731"/>
    <w:rsid w:val="008D48F4"/>
    <w:rsid w:val="008D5134"/>
    <w:rsid w:val="008D5408"/>
    <w:rsid w:val="008D5E1D"/>
    <w:rsid w:val="008D5EDB"/>
    <w:rsid w:val="008D6060"/>
    <w:rsid w:val="008D6109"/>
    <w:rsid w:val="008D6223"/>
    <w:rsid w:val="008D66B2"/>
    <w:rsid w:val="008D6938"/>
    <w:rsid w:val="008D6B14"/>
    <w:rsid w:val="008D6CEF"/>
    <w:rsid w:val="008D6D49"/>
    <w:rsid w:val="008D7521"/>
    <w:rsid w:val="008D7F58"/>
    <w:rsid w:val="008E0EDA"/>
    <w:rsid w:val="008E0F9E"/>
    <w:rsid w:val="008E14DE"/>
    <w:rsid w:val="008E1AD3"/>
    <w:rsid w:val="008E1FD1"/>
    <w:rsid w:val="008E4259"/>
    <w:rsid w:val="008E45D6"/>
    <w:rsid w:val="008E4634"/>
    <w:rsid w:val="008E4979"/>
    <w:rsid w:val="008E4C70"/>
    <w:rsid w:val="008E5033"/>
    <w:rsid w:val="008E61F4"/>
    <w:rsid w:val="008E66CB"/>
    <w:rsid w:val="008E68C0"/>
    <w:rsid w:val="008E6914"/>
    <w:rsid w:val="008E77B8"/>
    <w:rsid w:val="008E7C32"/>
    <w:rsid w:val="008F047E"/>
    <w:rsid w:val="008F0FA1"/>
    <w:rsid w:val="008F1694"/>
    <w:rsid w:val="008F221A"/>
    <w:rsid w:val="008F275D"/>
    <w:rsid w:val="008F2CAF"/>
    <w:rsid w:val="008F2ECC"/>
    <w:rsid w:val="008F451F"/>
    <w:rsid w:val="008F4DE9"/>
    <w:rsid w:val="008F5D9B"/>
    <w:rsid w:val="008F6778"/>
    <w:rsid w:val="008F6DF8"/>
    <w:rsid w:val="008F6EA8"/>
    <w:rsid w:val="008F7245"/>
    <w:rsid w:val="008F76EE"/>
    <w:rsid w:val="008F7AA3"/>
    <w:rsid w:val="008F7ECF"/>
    <w:rsid w:val="00900D67"/>
    <w:rsid w:val="00901098"/>
    <w:rsid w:val="00901853"/>
    <w:rsid w:val="009019B3"/>
    <w:rsid w:val="00901F16"/>
    <w:rsid w:val="00902342"/>
    <w:rsid w:val="00902388"/>
    <w:rsid w:val="009025FD"/>
    <w:rsid w:val="00903494"/>
    <w:rsid w:val="00903ABB"/>
    <w:rsid w:val="00904780"/>
    <w:rsid w:val="00904903"/>
    <w:rsid w:val="00904C3A"/>
    <w:rsid w:val="00904C78"/>
    <w:rsid w:val="00904CD0"/>
    <w:rsid w:val="00904FCB"/>
    <w:rsid w:val="00905174"/>
    <w:rsid w:val="0090523B"/>
    <w:rsid w:val="00905580"/>
    <w:rsid w:val="0090575A"/>
    <w:rsid w:val="00906140"/>
    <w:rsid w:val="00906C46"/>
    <w:rsid w:val="00907AEA"/>
    <w:rsid w:val="009102E7"/>
    <w:rsid w:val="009109E6"/>
    <w:rsid w:val="00910BC8"/>
    <w:rsid w:val="009116CA"/>
    <w:rsid w:val="00911AC3"/>
    <w:rsid w:val="00911FCD"/>
    <w:rsid w:val="00912786"/>
    <w:rsid w:val="009130E5"/>
    <w:rsid w:val="00913267"/>
    <w:rsid w:val="009135E1"/>
    <w:rsid w:val="00913D34"/>
    <w:rsid w:val="0091447D"/>
    <w:rsid w:val="00914952"/>
    <w:rsid w:val="00914C3F"/>
    <w:rsid w:val="009156AF"/>
    <w:rsid w:val="00915832"/>
    <w:rsid w:val="0091591B"/>
    <w:rsid w:val="009159D2"/>
    <w:rsid w:val="00915C30"/>
    <w:rsid w:val="0091672D"/>
    <w:rsid w:val="00917E71"/>
    <w:rsid w:val="00917E9E"/>
    <w:rsid w:val="009201E5"/>
    <w:rsid w:val="009212C1"/>
    <w:rsid w:val="009212F5"/>
    <w:rsid w:val="00921E93"/>
    <w:rsid w:val="00922383"/>
    <w:rsid w:val="00922691"/>
    <w:rsid w:val="00923638"/>
    <w:rsid w:val="00923DBA"/>
    <w:rsid w:val="0092447C"/>
    <w:rsid w:val="00924840"/>
    <w:rsid w:val="0092521B"/>
    <w:rsid w:val="009252D0"/>
    <w:rsid w:val="00925F0C"/>
    <w:rsid w:val="00926569"/>
    <w:rsid w:val="0092697D"/>
    <w:rsid w:val="00927370"/>
    <w:rsid w:val="00927B40"/>
    <w:rsid w:val="00927C47"/>
    <w:rsid w:val="009302D5"/>
    <w:rsid w:val="00930A0D"/>
    <w:rsid w:val="00930C14"/>
    <w:rsid w:val="00930C24"/>
    <w:rsid w:val="0093171E"/>
    <w:rsid w:val="009318D5"/>
    <w:rsid w:val="00931907"/>
    <w:rsid w:val="0093255B"/>
    <w:rsid w:val="009329C2"/>
    <w:rsid w:val="00932D3D"/>
    <w:rsid w:val="00932F05"/>
    <w:rsid w:val="00934036"/>
    <w:rsid w:val="009352A7"/>
    <w:rsid w:val="00935381"/>
    <w:rsid w:val="0093539E"/>
    <w:rsid w:val="0093566E"/>
    <w:rsid w:val="009358D5"/>
    <w:rsid w:val="009363CC"/>
    <w:rsid w:val="00936B85"/>
    <w:rsid w:val="00936E80"/>
    <w:rsid w:val="009400DF"/>
    <w:rsid w:val="00940435"/>
    <w:rsid w:val="009405AB"/>
    <w:rsid w:val="009406BA"/>
    <w:rsid w:val="009411E7"/>
    <w:rsid w:val="009413BE"/>
    <w:rsid w:val="00941B01"/>
    <w:rsid w:val="00942417"/>
    <w:rsid w:val="00942D23"/>
    <w:rsid w:val="009436C1"/>
    <w:rsid w:val="0094388F"/>
    <w:rsid w:val="0094440E"/>
    <w:rsid w:val="0094484C"/>
    <w:rsid w:val="00944AA6"/>
    <w:rsid w:val="009455C2"/>
    <w:rsid w:val="0094595E"/>
    <w:rsid w:val="00945B20"/>
    <w:rsid w:val="00945F61"/>
    <w:rsid w:val="0094618A"/>
    <w:rsid w:val="00946D2F"/>
    <w:rsid w:val="00946E9F"/>
    <w:rsid w:val="00947290"/>
    <w:rsid w:val="0094759C"/>
    <w:rsid w:val="00947631"/>
    <w:rsid w:val="00947CB4"/>
    <w:rsid w:val="009506F4"/>
    <w:rsid w:val="00950D57"/>
    <w:rsid w:val="00951E2C"/>
    <w:rsid w:val="0095236A"/>
    <w:rsid w:val="00952B07"/>
    <w:rsid w:val="00952E83"/>
    <w:rsid w:val="009531E3"/>
    <w:rsid w:val="009535D7"/>
    <w:rsid w:val="0095363E"/>
    <w:rsid w:val="00953C80"/>
    <w:rsid w:val="00953D3B"/>
    <w:rsid w:val="00954789"/>
    <w:rsid w:val="009551B5"/>
    <w:rsid w:val="009557D9"/>
    <w:rsid w:val="00955A86"/>
    <w:rsid w:val="00955A9F"/>
    <w:rsid w:val="00955FBD"/>
    <w:rsid w:val="00956A77"/>
    <w:rsid w:val="009570EB"/>
    <w:rsid w:val="0095728C"/>
    <w:rsid w:val="00957290"/>
    <w:rsid w:val="009572FD"/>
    <w:rsid w:val="0095731B"/>
    <w:rsid w:val="00957DB7"/>
    <w:rsid w:val="00957FC2"/>
    <w:rsid w:val="0096086E"/>
    <w:rsid w:val="00960DA8"/>
    <w:rsid w:val="00960DE1"/>
    <w:rsid w:val="00960EE3"/>
    <w:rsid w:val="009610F2"/>
    <w:rsid w:val="009612B7"/>
    <w:rsid w:val="00961634"/>
    <w:rsid w:val="00961A1F"/>
    <w:rsid w:val="00962C17"/>
    <w:rsid w:val="00963835"/>
    <w:rsid w:val="00963B9F"/>
    <w:rsid w:val="00963C74"/>
    <w:rsid w:val="00963D03"/>
    <w:rsid w:val="00964105"/>
    <w:rsid w:val="00964587"/>
    <w:rsid w:val="0096537E"/>
    <w:rsid w:val="009660A0"/>
    <w:rsid w:val="009660B3"/>
    <w:rsid w:val="00966DF1"/>
    <w:rsid w:val="0096727A"/>
    <w:rsid w:val="00970414"/>
    <w:rsid w:val="0097120C"/>
    <w:rsid w:val="00971248"/>
    <w:rsid w:val="009721A9"/>
    <w:rsid w:val="0097229C"/>
    <w:rsid w:val="0097251F"/>
    <w:rsid w:val="00972998"/>
    <w:rsid w:val="00972B9E"/>
    <w:rsid w:val="00972BDD"/>
    <w:rsid w:val="00972CD8"/>
    <w:rsid w:val="00972E4A"/>
    <w:rsid w:val="009736A3"/>
    <w:rsid w:val="0097374B"/>
    <w:rsid w:val="00973799"/>
    <w:rsid w:val="00974587"/>
    <w:rsid w:val="00974E65"/>
    <w:rsid w:val="009750F8"/>
    <w:rsid w:val="00975C26"/>
    <w:rsid w:val="00975C67"/>
    <w:rsid w:val="00976A05"/>
    <w:rsid w:val="00976B83"/>
    <w:rsid w:val="00976FA6"/>
    <w:rsid w:val="00980577"/>
    <w:rsid w:val="00980B0E"/>
    <w:rsid w:val="009810A8"/>
    <w:rsid w:val="0098142C"/>
    <w:rsid w:val="009816A8"/>
    <w:rsid w:val="009818C6"/>
    <w:rsid w:val="00982AD3"/>
    <w:rsid w:val="0098308E"/>
    <w:rsid w:val="0098419A"/>
    <w:rsid w:val="009841B1"/>
    <w:rsid w:val="00985346"/>
    <w:rsid w:val="0098599D"/>
    <w:rsid w:val="00985BB6"/>
    <w:rsid w:val="009868A8"/>
    <w:rsid w:val="00986BDF"/>
    <w:rsid w:val="00986D55"/>
    <w:rsid w:val="00986D94"/>
    <w:rsid w:val="00987371"/>
    <w:rsid w:val="00987A6A"/>
    <w:rsid w:val="00987BE7"/>
    <w:rsid w:val="00987D66"/>
    <w:rsid w:val="0099034A"/>
    <w:rsid w:val="0099051A"/>
    <w:rsid w:val="00990816"/>
    <w:rsid w:val="009908D5"/>
    <w:rsid w:val="00991308"/>
    <w:rsid w:val="00991A91"/>
    <w:rsid w:val="00991D7D"/>
    <w:rsid w:val="00991F29"/>
    <w:rsid w:val="00992E07"/>
    <w:rsid w:val="009932F2"/>
    <w:rsid w:val="00993828"/>
    <w:rsid w:val="0099457E"/>
    <w:rsid w:val="0099461E"/>
    <w:rsid w:val="00994B26"/>
    <w:rsid w:val="00994DD9"/>
    <w:rsid w:val="00994E9D"/>
    <w:rsid w:val="00995C53"/>
    <w:rsid w:val="00995E97"/>
    <w:rsid w:val="009966E0"/>
    <w:rsid w:val="00997183"/>
    <w:rsid w:val="009975DB"/>
    <w:rsid w:val="0099782D"/>
    <w:rsid w:val="00997D25"/>
    <w:rsid w:val="00997D2F"/>
    <w:rsid w:val="009A0EE0"/>
    <w:rsid w:val="009A14AF"/>
    <w:rsid w:val="009A16FE"/>
    <w:rsid w:val="009A2995"/>
    <w:rsid w:val="009A299E"/>
    <w:rsid w:val="009A39A8"/>
    <w:rsid w:val="009A3AB2"/>
    <w:rsid w:val="009A3D28"/>
    <w:rsid w:val="009A3D88"/>
    <w:rsid w:val="009A3E1B"/>
    <w:rsid w:val="009A3F31"/>
    <w:rsid w:val="009A48CA"/>
    <w:rsid w:val="009A52F6"/>
    <w:rsid w:val="009A5699"/>
    <w:rsid w:val="009A5C6F"/>
    <w:rsid w:val="009A6BA2"/>
    <w:rsid w:val="009A6BE2"/>
    <w:rsid w:val="009A7376"/>
    <w:rsid w:val="009A73F2"/>
    <w:rsid w:val="009B005B"/>
    <w:rsid w:val="009B018C"/>
    <w:rsid w:val="009B02D0"/>
    <w:rsid w:val="009B0F37"/>
    <w:rsid w:val="009B12F4"/>
    <w:rsid w:val="009B17EE"/>
    <w:rsid w:val="009B1B69"/>
    <w:rsid w:val="009B2F02"/>
    <w:rsid w:val="009B35E4"/>
    <w:rsid w:val="009B3956"/>
    <w:rsid w:val="009B3F79"/>
    <w:rsid w:val="009B411F"/>
    <w:rsid w:val="009B56E6"/>
    <w:rsid w:val="009B5748"/>
    <w:rsid w:val="009B58AD"/>
    <w:rsid w:val="009B6909"/>
    <w:rsid w:val="009B6B19"/>
    <w:rsid w:val="009B71FC"/>
    <w:rsid w:val="009B7478"/>
    <w:rsid w:val="009B7A48"/>
    <w:rsid w:val="009B7E8A"/>
    <w:rsid w:val="009B7EEB"/>
    <w:rsid w:val="009C0BE7"/>
    <w:rsid w:val="009C0BF4"/>
    <w:rsid w:val="009C0DAC"/>
    <w:rsid w:val="009C165B"/>
    <w:rsid w:val="009C25B3"/>
    <w:rsid w:val="009C2D70"/>
    <w:rsid w:val="009C3848"/>
    <w:rsid w:val="009C466A"/>
    <w:rsid w:val="009C5235"/>
    <w:rsid w:val="009C52FA"/>
    <w:rsid w:val="009C557D"/>
    <w:rsid w:val="009C5867"/>
    <w:rsid w:val="009C5878"/>
    <w:rsid w:val="009C60C9"/>
    <w:rsid w:val="009C6A75"/>
    <w:rsid w:val="009C6DEB"/>
    <w:rsid w:val="009C6F90"/>
    <w:rsid w:val="009C7427"/>
    <w:rsid w:val="009C7F89"/>
    <w:rsid w:val="009C7FCB"/>
    <w:rsid w:val="009C7FD5"/>
    <w:rsid w:val="009D0F36"/>
    <w:rsid w:val="009D1710"/>
    <w:rsid w:val="009D1C4A"/>
    <w:rsid w:val="009D1F8A"/>
    <w:rsid w:val="009D206C"/>
    <w:rsid w:val="009D265C"/>
    <w:rsid w:val="009D26E0"/>
    <w:rsid w:val="009D35CD"/>
    <w:rsid w:val="009D395B"/>
    <w:rsid w:val="009D3C93"/>
    <w:rsid w:val="009D40E3"/>
    <w:rsid w:val="009D4443"/>
    <w:rsid w:val="009D4515"/>
    <w:rsid w:val="009D4890"/>
    <w:rsid w:val="009D4A04"/>
    <w:rsid w:val="009D4E48"/>
    <w:rsid w:val="009D5031"/>
    <w:rsid w:val="009D5682"/>
    <w:rsid w:val="009D5C8C"/>
    <w:rsid w:val="009D5E09"/>
    <w:rsid w:val="009D615C"/>
    <w:rsid w:val="009D68D4"/>
    <w:rsid w:val="009D69B5"/>
    <w:rsid w:val="009D6D08"/>
    <w:rsid w:val="009D7585"/>
    <w:rsid w:val="009D774C"/>
    <w:rsid w:val="009D7864"/>
    <w:rsid w:val="009D7D39"/>
    <w:rsid w:val="009E0CC9"/>
    <w:rsid w:val="009E0DC1"/>
    <w:rsid w:val="009E134B"/>
    <w:rsid w:val="009E188D"/>
    <w:rsid w:val="009E1AAF"/>
    <w:rsid w:val="009E1C20"/>
    <w:rsid w:val="009E224F"/>
    <w:rsid w:val="009E277E"/>
    <w:rsid w:val="009E2C73"/>
    <w:rsid w:val="009E37FE"/>
    <w:rsid w:val="009E3EDE"/>
    <w:rsid w:val="009E4235"/>
    <w:rsid w:val="009E447D"/>
    <w:rsid w:val="009E457D"/>
    <w:rsid w:val="009E46D3"/>
    <w:rsid w:val="009E522D"/>
    <w:rsid w:val="009E5664"/>
    <w:rsid w:val="009E595A"/>
    <w:rsid w:val="009E5FC9"/>
    <w:rsid w:val="009E606C"/>
    <w:rsid w:val="009E67BD"/>
    <w:rsid w:val="009E6A28"/>
    <w:rsid w:val="009E7420"/>
    <w:rsid w:val="009E7539"/>
    <w:rsid w:val="009E7874"/>
    <w:rsid w:val="009E7B5C"/>
    <w:rsid w:val="009F0125"/>
    <w:rsid w:val="009F01BE"/>
    <w:rsid w:val="009F0C00"/>
    <w:rsid w:val="009F0E9E"/>
    <w:rsid w:val="009F13C4"/>
    <w:rsid w:val="009F1947"/>
    <w:rsid w:val="009F1A1A"/>
    <w:rsid w:val="009F2166"/>
    <w:rsid w:val="009F2633"/>
    <w:rsid w:val="009F26EE"/>
    <w:rsid w:val="009F3960"/>
    <w:rsid w:val="009F3A20"/>
    <w:rsid w:val="009F3C6E"/>
    <w:rsid w:val="009F485A"/>
    <w:rsid w:val="009F573A"/>
    <w:rsid w:val="009F5853"/>
    <w:rsid w:val="009F5887"/>
    <w:rsid w:val="009F58B7"/>
    <w:rsid w:val="009F63A6"/>
    <w:rsid w:val="009F6404"/>
    <w:rsid w:val="009F6788"/>
    <w:rsid w:val="009F67E7"/>
    <w:rsid w:val="009F6901"/>
    <w:rsid w:val="009F69D9"/>
    <w:rsid w:val="009F6B1D"/>
    <w:rsid w:val="009F767C"/>
    <w:rsid w:val="009F77C1"/>
    <w:rsid w:val="009F7869"/>
    <w:rsid w:val="009F7A0A"/>
    <w:rsid w:val="00A003F7"/>
    <w:rsid w:val="00A0077B"/>
    <w:rsid w:val="00A008B9"/>
    <w:rsid w:val="00A016E3"/>
    <w:rsid w:val="00A02229"/>
    <w:rsid w:val="00A02567"/>
    <w:rsid w:val="00A033E5"/>
    <w:rsid w:val="00A03A11"/>
    <w:rsid w:val="00A03F8D"/>
    <w:rsid w:val="00A047BB"/>
    <w:rsid w:val="00A04D27"/>
    <w:rsid w:val="00A050A3"/>
    <w:rsid w:val="00A055B0"/>
    <w:rsid w:val="00A05ABB"/>
    <w:rsid w:val="00A05FCF"/>
    <w:rsid w:val="00A0767D"/>
    <w:rsid w:val="00A07C12"/>
    <w:rsid w:val="00A10223"/>
    <w:rsid w:val="00A102AA"/>
    <w:rsid w:val="00A1058A"/>
    <w:rsid w:val="00A10854"/>
    <w:rsid w:val="00A10EA6"/>
    <w:rsid w:val="00A10EF8"/>
    <w:rsid w:val="00A11A89"/>
    <w:rsid w:val="00A11EF5"/>
    <w:rsid w:val="00A122C1"/>
    <w:rsid w:val="00A127F3"/>
    <w:rsid w:val="00A12865"/>
    <w:rsid w:val="00A13319"/>
    <w:rsid w:val="00A138A7"/>
    <w:rsid w:val="00A141BA"/>
    <w:rsid w:val="00A14249"/>
    <w:rsid w:val="00A1485C"/>
    <w:rsid w:val="00A14AAE"/>
    <w:rsid w:val="00A14C03"/>
    <w:rsid w:val="00A14C3D"/>
    <w:rsid w:val="00A15229"/>
    <w:rsid w:val="00A15D6C"/>
    <w:rsid w:val="00A16852"/>
    <w:rsid w:val="00A16C31"/>
    <w:rsid w:val="00A16F3C"/>
    <w:rsid w:val="00A17044"/>
    <w:rsid w:val="00A17C11"/>
    <w:rsid w:val="00A2090F"/>
    <w:rsid w:val="00A20E30"/>
    <w:rsid w:val="00A20FC2"/>
    <w:rsid w:val="00A21518"/>
    <w:rsid w:val="00A21AE6"/>
    <w:rsid w:val="00A21AFC"/>
    <w:rsid w:val="00A22286"/>
    <w:rsid w:val="00A23C8D"/>
    <w:rsid w:val="00A25C6E"/>
    <w:rsid w:val="00A25CB8"/>
    <w:rsid w:val="00A25DF8"/>
    <w:rsid w:val="00A25F8A"/>
    <w:rsid w:val="00A263F4"/>
    <w:rsid w:val="00A26858"/>
    <w:rsid w:val="00A26D5C"/>
    <w:rsid w:val="00A2778A"/>
    <w:rsid w:val="00A304C0"/>
    <w:rsid w:val="00A30879"/>
    <w:rsid w:val="00A30A8F"/>
    <w:rsid w:val="00A30B2D"/>
    <w:rsid w:val="00A31429"/>
    <w:rsid w:val="00A31AB7"/>
    <w:rsid w:val="00A31CD0"/>
    <w:rsid w:val="00A32E81"/>
    <w:rsid w:val="00A32EF8"/>
    <w:rsid w:val="00A33421"/>
    <w:rsid w:val="00A345B6"/>
    <w:rsid w:val="00A34EF0"/>
    <w:rsid w:val="00A35E7A"/>
    <w:rsid w:val="00A36192"/>
    <w:rsid w:val="00A363BB"/>
    <w:rsid w:val="00A364ED"/>
    <w:rsid w:val="00A36545"/>
    <w:rsid w:val="00A36C58"/>
    <w:rsid w:val="00A36F36"/>
    <w:rsid w:val="00A37750"/>
    <w:rsid w:val="00A37ACE"/>
    <w:rsid w:val="00A37CAB"/>
    <w:rsid w:val="00A37ECA"/>
    <w:rsid w:val="00A4098A"/>
    <w:rsid w:val="00A40DE9"/>
    <w:rsid w:val="00A41058"/>
    <w:rsid w:val="00A414C3"/>
    <w:rsid w:val="00A416F8"/>
    <w:rsid w:val="00A41D0F"/>
    <w:rsid w:val="00A41DA8"/>
    <w:rsid w:val="00A42751"/>
    <w:rsid w:val="00A429A7"/>
    <w:rsid w:val="00A43511"/>
    <w:rsid w:val="00A43710"/>
    <w:rsid w:val="00A43E40"/>
    <w:rsid w:val="00A44014"/>
    <w:rsid w:val="00A4424B"/>
    <w:rsid w:val="00A45755"/>
    <w:rsid w:val="00A459C0"/>
    <w:rsid w:val="00A45E80"/>
    <w:rsid w:val="00A46297"/>
    <w:rsid w:val="00A466D1"/>
    <w:rsid w:val="00A468A1"/>
    <w:rsid w:val="00A47009"/>
    <w:rsid w:val="00A470A1"/>
    <w:rsid w:val="00A501D1"/>
    <w:rsid w:val="00A50922"/>
    <w:rsid w:val="00A50F15"/>
    <w:rsid w:val="00A51C1C"/>
    <w:rsid w:val="00A52544"/>
    <w:rsid w:val="00A527C3"/>
    <w:rsid w:val="00A53030"/>
    <w:rsid w:val="00A5332B"/>
    <w:rsid w:val="00A53439"/>
    <w:rsid w:val="00A5370A"/>
    <w:rsid w:val="00A53CF7"/>
    <w:rsid w:val="00A545DA"/>
    <w:rsid w:val="00A546E3"/>
    <w:rsid w:val="00A547D4"/>
    <w:rsid w:val="00A55E0C"/>
    <w:rsid w:val="00A56348"/>
    <w:rsid w:val="00A56C10"/>
    <w:rsid w:val="00A56E4A"/>
    <w:rsid w:val="00A574C3"/>
    <w:rsid w:val="00A57B5B"/>
    <w:rsid w:val="00A57D02"/>
    <w:rsid w:val="00A603EF"/>
    <w:rsid w:val="00A60524"/>
    <w:rsid w:val="00A60606"/>
    <w:rsid w:val="00A6148F"/>
    <w:rsid w:val="00A621F0"/>
    <w:rsid w:val="00A629DD"/>
    <w:rsid w:val="00A631EE"/>
    <w:rsid w:val="00A6375A"/>
    <w:rsid w:val="00A63CCD"/>
    <w:rsid w:val="00A63E21"/>
    <w:rsid w:val="00A63F74"/>
    <w:rsid w:val="00A6505B"/>
    <w:rsid w:val="00A65E94"/>
    <w:rsid w:val="00A66627"/>
    <w:rsid w:val="00A67360"/>
    <w:rsid w:val="00A67483"/>
    <w:rsid w:val="00A67A58"/>
    <w:rsid w:val="00A705C4"/>
    <w:rsid w:val="00A705CF"/>
    <w:rsid w:val="00A70858"/>
    <w:rsid w:val="00A70C9E"/>
    <w:rsid w:val="00A714E2"/>
    <w:rsid w:val="00A71530"/>
    <w:rsid w:val="00A71D78"/>
    <w:rsid w:val="00A72A24"/>
    <w:rsid w:val="00A7378A"/>
    <w:rsid w:val="00A737B6"/>
    <w:rsid w:val="00A738A3"/>
    <w:rsid w:val="00A73CA3"/>
    <w:rsid w:val="00A73EA8"/>
    <w:rsid w:val="00A740AD"/>
    <w:rsid w:val="00A74EEC"/>
    <w:rsid w:val="00A7503D"/>
    <w:rsid w:val="00A754A3"/>
    <w:rsid w:val="00A75C27"/>
    <w:rsid w:val="00A75F2F"/>
    <w:rsid w:val="00A765F7"/>
    <w:rsid w:val="00A76C32"/>
    <w:rsid w:val="00A76DB8"/>
    <w:rsid w:val="00A77735"/>
    <w:rsid w:val="00A77792"/>
    <w:rsid w:val="00A7790B"/>
    <w:rsid w:val="00A7797B"/>
    <w:rsid w:val="00A77D08"/>
    <w:rsid w:val="00A77EBE"/>
    <w:rsid w:val="00A8063A"/>
    <w:rsid w:val="00A8120B"/>
    <w:rsid w:val="00A8132D"/>
    <w:rsid w:val="00A8180C"/>
    <w:rsid w:val="00A839CD"/>
    <w:rsid w:val="00A83D7B"/>
    <w:rsid w:val="00A83ECB"/>
    <w:rsid w:val="00A84234"/>
    <w:rsid w:val="00A84337"/>
    <w:rsid w:val="00A84413"/>
    <w:rsid w:val="00A84D9F"/>
    <w:rsid w:val="00A85BCE"/>
    <w:rsid w:val="00A85C97"/>
    <w:rsid w:val="00A86C63"/>
    <w:rsid w:val="00A86FF8"/>
    <w:rsid w:val="00A87540"/>
    <w:rsid w:val="00A9011B"/>
    <w:rsid w:val="00A90237"/>
    <w:rsid w:val="00A905D6"/>
    <w:rsid w:val="00A9095F"/>
    <w:rsid w:val="00A90C58"/>
    <w:rsid w:val="00A90DF9"/>
    <w:rsid w:val="00A91309"/>
    <w:rsid w:val="00A91AD1"/>
    <w:rsid w:val="00A920CC"/>
    <w:rsid w:val="00A9252E"/>
    <w:rsid w:val="00A926A0"/>
    <w:rsid w:val="00A93BE0"/>
    <w:rsid w:val="00A9438C"/>
    <w:rsid w:val="00A943DE"/>
    <w:rsid w:val="00A950A6"/>
    <w:rsid w:val="00A95B2B"/>
    <w:rsid w:val="00A95D00"/>
    <w:rsid w:val="00A96127"/>
    <w:rsid w:val="00A9627F"/>
    <w:rsid w:val="00A9645B"/>
    <w:rsid w:val="00A9660E"/>
    <w:rsid w:val="00A9678C"/>
    <w:rsid w:val="00A967D2"/>
    <w:rsid w:val="00A96970"/>
    <w:rsid w:val="00A96E4F"/>
    <w:rsid w:val="00A96F50"/>
    <w:rsid w:val="00A9713D"/>
    <w:rsid w:val="00A97432"/>
    <w:rsid w:val="00A97CC0"/>
    <w:rsid w:val="00A97D7A"/>
    <w:rsid w:val="00AA02F5"/>
    <w:rsid w:val="00AA10CF"/>
    <w:rsid w:val="00AA1388"/>
    <w:rsid w:val="00AA1CE4"/>
    <w:rsid w:val="00AA2377"/>
    <w:rsid w:val="00AA2A29"/>
    <w:rsid w:val="00AA300D"/>
    <w:rsid w:val="00AA3402"/>
    <w:rsid w:val="00AA3BC5"/>
    <w:rsid w:val="00AA3C5C"/>
    <w:rsid w:val="00AA4240"/>
    <w:rsid w:val="00AA4C13"/>
    <w:rsid w:val="00AA4C57"/>
    <w:rsid w:val="00AA4F75"/>
    <w:rsid w:val="00AA4F88"/>
    <w:rsid w:val="00AA6239"/>
    <w:rsid w:val="00AA63F6"/>
    <w:rsid w:val="00AA7431"/>
    <w:rsid w:val="00AA773F"/>
    <w:rsid w:val="00AA77A4"/>
    <w:rsid w:val="00AB0036"/>
    <w:rsid w:val="00AB07DA"/>
    <w:rsid w:val="00AB089C"/>
    <w:rsid w:val="00AB19A6"/>
    <w:rsid w:val="00AB1A9D"/>
    <w:rsid w:val="00AB23A9"/>
    <w:rsid w:val="00AB23F5"/>
    <w:rsid w:val="00AB2862"/>
    <w:rsid w:val="00AB38EC"/>
    <w:rsid w:val="00AB3DC0"/>
    <w:rsid w:val="00AB4082"/>
    <w:rsid w:val="00AB4A3E"/>
    <w:rsid w:val="00AB4C46"/>
    <w:rsid w:val="00AB4C92"/>
    <w:rsid w:val="00AB4EA5"/>
    <w:rsid w:val="00AB5402"/>
    <w:rsid w:val="00AB58AA"/>
    <w:rsid w:val="00AB594C"/>
    <w:rsid w:val="00AB5AB9"/>
    <w:rsid w:val="00AB5F6C"/>
    <w:rsid w:val="00AB6050"/>
    <w:rsid w:val="00AB653F"/>
    <w:rsid w:val="00AB6F6A"/>
    <w:rsid w:val="00AB6F71"/>
    <w:rsid w:val="00AB7200"/>
    <w:rsid w:val="00AB7628"/>
    <w:rsid w:val="00AB79A3"/>
    <w:rsid w:val="00AB79AC"/>
    <w:rsid w:val="00AC08BF"/>
    <w:rsid w:val="00AC098F"/>
    <w:rsid w:val="00AC2C08"/>
    <w:rsid w:val="00AC3290"/>
    <w:rsid w:val="00AC36C5"/>
    <w:rsid w:val="00AC3FBA"/>
    <w:rsid w:val="00AC4A16"/>
    <w:rsid w:val="00AC6221"/>
    <w:rsid w:val="00AC63C3"/>
    <w:rsid w:val="00AC6ED3"/>
    <w:rsid w:val="00AC7940"/>
    <w:rsid w:val="00AC7C93"/>
    <w:rsid w:val="00AD0825"/>
    <w:rsid w:val="00AD1293"/>
    <w:rsid w:val="00AD22FA"/>
    <w:rsid w:val="00AD2BD2"/>
    <w:rsid w:val="00AD2F15"/>
    <w:rsid w:val="00AD32C1"/>
    <w:rsid w:val="00AD33E2"/>
    <w:rsid w:val="00AD3BEE"/>
    <w:rsid w:val="00AD4236"/>
    <w:rsid w:val="00AD454B"/>
    <w:rsid w:val="00AD4887"/>
    <w:rsid w:val="00AD546F"/>
    <w:rsid w:val="00AD57E0"/>
    <w:rsid w:val="00AD60FF"/>
    <w:rsid w:val="00AD6458"/>
    <w:rsid w:val="00AD6475"/>
    <w:rsid w:val="00AD6604"/>
    <w:rsid w:val="00AD68B0"/>
    <w:rsid w:val="00AD7188"/>
    <w:rsid w:val="00AD7353"/>
    <w:rsid w:val="00AD7640"/>
    <w:rsid w:val="00AE01FB"/>
    <w:rsid w:val="00AE0865"/>
    <w:rsid w:val="00AE0DA9"/>
    <w:rsid w:val="00AE1183"/>
    <w:rsid w:val="00AE16E9"/>
    <w:rsid w:val="00AE18DB"/>
    <w:rsid w:val="00AE1A60"/>
    <w:rsid w:val="00AE39F6"/>
    <w:rsid w:val="00AE3BBD"/>
    <w:rsid w:val="00AE451A"/>
    <w:rsid w:val="00AE533D"/>
    <w:rsid w:val="00AE556E"/>
    <w:rsid w:val="00AE563D"/>
    <w:rsid w:val="00AE5A6A"/>
    <w:rsid w:val="00AE5AFA"/>
    <w:rsid w:val="00AE6118"/>
    <w:rsid w:val="00AE6568"/>
    <w:rsid w:val="00AE6C22"/>
    <w:rsid w:val="00AE7550"/>
    <w:rsid w:val="00AE7D9A"/>
    <w:rsid w:val="00AF0048"/>
    <w:rsid w:val="00AF0657"/>
    <w:rsid w:val="00AF118C"/>
    <w:rsid w:val="00AF19DB"/>
    <w:rsid w:val="00AF1DEA"/>
    <w:rsid w:val="00AF2781"/>
    <w:rsid w:val="00AF29C8"/>
    <w:rsid w:val="00AF2B2A"/>
    <w:rsid w:val="00AF3332"/>
    <w:rsid w:val="00AF3334"/>
    <w:rsid w:val="00AF355D"/>
    <w:rsid w:val="00AF3C9B"/>
    <w:rsid w:val="00AF43E5"/>
    <w:rsid w:val="00AF4B17"/>
    <w:rsid w:val="00AF528B"/>
    <w:rsid w:val="00AF5562"/>
    <w:rsid w:val="00AF64CE"/>
    <w:rsid w:val="00AF66AC"/>
    <w:rsid w:val="00AF6CD6"/>
    <w:rsid w:val="00B002A5"/>
    <w:rsid w:val="00B007AE"/>
    <w:rsid w:val="00B00BE0"/>
    <w:rsid w:val="00B00D11"/>
    <w:rsid w:val="00B0145B"/>
    <w:rsid w:val="00B019D3"/>
    <w:rsid w:val="00B026B1"/>
    <w:rsid w:val="00B02913"/>
    <w:rsid w:val="00B02B0D"/>
    <w:rsid w:val="00B0445D"/>
    <w:rsid w:val="00B0470B"/>
    <w:rsid w:val="00B048A9"/>
    <w:rsid w:val="00B0498E"/>
    <w:rsid w:val="00B05D64"/>
    <w:rsid w:val="00B0695E"/>
    <w:rsid w:val="00B06B67"/>
    <w:rsid w:val="00B06E45"/>
    <w:rsid w:val="00B07F04"/>
    <w:rsid w:val="00B10227"/>
    <w:rsid w:val="00B1064C"/>
    <w:rsid w:val="00B118B7"/>
    <w:rsid w:val="00B123E3"/>
    <w:rsid w:val="00B1260C"/>
    <w:rsid w:val="00B1267D"/>
    <w:rsid w:val="00B12A68"/>
    <w:rsid w:val="00B137A2"/>
    <w:rsid w:val="00B1392F"/>
    <w:rsid w:val="00B13D8E"/>
    <w:rsid w:val="00B147D2"/>
    <w:rsid w:val="00B15073"/>
    <w:rsid w:val="00B15438"/>
    <w:rsid w:val="00B15CCC"/>
    <w:rsid w:val="00B15D8A"/>
    <w:rsid w:val="00B15DFA"/>
    <w:rsid w:val="00B16082"/>
    <w:rsid w:val="00B161B7"/>
    <w:rsid w:val="00B16E23"/>
    <w:rsid w:val="00B174C1"/>
    <w:rsid w:val="00B17AA0"/>
    <w:rsid w:val="00B17B2B"/>
    <w:rsid w:val="00B20535"/>
    <w:rsid w:val="00B20AB6"/>
    <w:rsid w:val="00B21748"/>
    <w:rsid w:val="00B217D1"/>
    <w:rsid w:val="00B219A8"/>
    <w:rsid w:val="00B21C92"/>
    <w:rsid w:val="00B22A8A"/>
    <w:rsid w:val="00B2322F"/>
    <w:rsid w:val="00B23410"/>
    <w:rsid w:val="00B241D5"/>
    <w:rsid w:val="00B243D5"/>
    <w:rsid w:val="00B24580"/>
    <w:rsid w:val="00B249B1"/>
    <w:rsid w:val="00B253B9"/>
    <w:rsid w:val="00B25501"/>
    <w:rsid w:val="00B25BFE"/>
    <w:rsid w:val="00B25FB4"/>
    <w:rsid w:val="00B2672A"/>
    <w:rsid w:val="00B27295"/>
    <w:rsid w:val="00B275BB"/>
    <w:rsid w:val="00B30090"/>
    <w:rsid w:val="00B30575"/>
    <w:rsid w:val="00B306E6"/>
    <w:rsid w:val="00B3080A"/>
    <w:rsid w:val="00B318D0"/>
    <w:rsid w:val="00B3204D"/>
    <w:rsid w:val="00B3257A"/>
    <w:rsid w:val="00B333A7"/>
    <w:rsid w:val="00B3385A"/>
    <w:rsid w:val="00B345B5"/>
    <w:rsid w:val="00B35686"/>
    <w:rsid w:val="00B35B42"/>
    <w:rsid w:val="00B36530"/>
    <w:rsid w:val="00B36DC3"/>
    <w:rsid w:val="00B36DE0"/>
    <w:rsid w:val="00B36F32"/>
    <w:rsid w:val="00B36F6D"/>
    <w:rsid w:val="00B3729F"/>
    <w:rsid w:val="00B408E3"/>
    <w:rsid w:val="00B41439"/>
    <w:rsid w:val="00B41DFE"/>
    <w:rsid w:val="00B41E23"/>
    <w:rsid w:val="00B42010"/>
    <w:rsid w:val="00B422E5"/>
    <w:rsid w:val="00B428A2"/>
    <w:rsid w:val="00B42A75"/>
    <w:rsid w:val="00B43A10"/>
    <w:rsid w:val="00B43B39"/>
    <w:rsid w:val="00B43C5A"/>
    <w:rsid w:val="00B44007"/>
    <w:rsid w:val="00B4431A"/>
    <w:rsid w:val="00B444C0"/>
    <w:rsid w:val="00B44919"/>
    <w:rsid w:val="00B44A8C"/>
    <w:rsid w:val="00B44BAD"/>
    <w:rsid w:val="00B451BD"/>
    <w:rsid w:val="00B45254"/>
    <w:rsid w:val="00B45EE5"/>
    <w:rsid w:val="00B462E1"/>
    <w:rsid w:val="00B4792D"/>
    <w:rsid w:val="00B47A06"/>
    <w:rsid w:val="00B47AF2"/>
    <w:rsid w:val="00B50100"/>
    <w:rsid w:val="00B503AB"/>
    <w:rsid w:val="00B50CCD"/>
    <w:rsid w:val="00B50CF8"/>
    <w:rsid w:val="00B50CFC"/>
    <w:rsid w:val="00B50D5F"/>
    <w:rsid w:val="00B51348"/>
    <w:rsid w:val="00B51449"/>
    <w:rsid w:val="00B520C3"/>
    <w:rsid w:val="00B52D0E"/>
    <w:rsid w:val="00B53141"/>
    <w:rsid w:val="00B5343A"/>
    <w:rsid w:val="00B5356C"/>
    <w:rsid w:val="00B538A4"/>
    <w:rsid w:val="00B546BA"/>
    <w:rsid w:val="00B54885"/>
    <w:rsid w:val="00B5596D"/>
    <w:rsid w:val="00B55AB1"/>
    <w:rsid w:val="00B55D77"/>
    <w:rsid w:val="00B55F2D"/>
    <w:rsid w:val="00B5673D"/>
    <w:rsid w:val="00B579A2"/>
    <w:rsid w:val="00B60253"/>
    <w:rsid w:val="00B6091F"/>
    <w:rsid w:val="00B60E6A"/>
    <w:rsid w:val="00B61FB2"/>
    <w:rsid w:val="00B620F5"/>
    <w:rsid w:val="00B621B3"/>
    <w:rsid w:val="00B6226C"/>
    <w:rsid w:val="00B62830"/>
    <w:rsid w:val="00B62F68"/>
    <w:rsid w:val="00B63547"/>
    <w:rsid w:val="00B63A4C"/>
    <w:rsid w:val="00B63DF6"/>
    <w:rsid w:val="00B647CF"/>
    <w:rsid w:val="00B64D51"/>
    <w:rsid w:val="00B658AD"/>
    <w:rsid w:val="00B661F3"/>
    <w:rsid w:val="00B6685D"/>
    <w:rsid w:val="00B66CCE"/>
    <w:rsid w:val="00B66D37"/>
    <w:rsid w:val="00B67F15"/>
    <w:rsid w:val="00B70C57"/>
    <w:rsid w:val="00B70D5D"/>
    <w:rsid w:val="00B71621"/>
    <w:rsid w:val="00B716B0"/>
    <w:rsid w:val="00B71D5A"/>
    <w:rsid w:val="00B72011"/>
    <w:rsid w:val="00B720F0"/>
    <w:rsid w:val="00B72BAB"/>
    <w:rsid w:val="00B72E40"/>
    <w:rsid w:val="00B72E61"/>
    <w:rsid w:val="00B732FE"/>
    <w:rsid w:val="00B736D1"/>
    <w:rsid w:val="00B73D52"/>
    <w:rsid w:val="00B73FA4"/>
    <w:rsid w:val="00B7429D"/>
    <w:rsid w:val="00B7551F"/>
    <w:rsid w:val="00B75B05"/>
    <w:rsid w:val="00B75C1C"/>
    <w:rsid w:val="00B75C68"/>
    <w:rsid w:val="00B772CD"/>
    <w:rsid w:val="00B774F4"/>
    <w:rsid w:val="00B77A4B"/>
    <w:rsid w:val="00B77C33"/>
    <w:rsid w:val="00B77DAE"/>
    <w:rsid w:val="00B77F90"/>
    <w:rsid w:val="00B80061"/>
    <w:rsid w:val="00B80439"/>
    <w:rsid w:val="00B804BB"/>
    <w:rsid w:val="00B805E2"/>
    <w:rsid w:val="00B806BB"/>
    <w:rsid w:val="00B812D5"/>
    <w:rsid w:val="00B8162B"/>
    <w:rsid w:val="00B8185A"/>
    <w:rsid w:val="00B81874"/>
    <w:rsid w:val="00B81A17"/>
    <w:rsid w:val="00B81A4E"/>
    <w:rsid w:val="00B81C6A"/>
    <w:rsid w:val="00B8261B"/>
    <w:rsid w:val="00B83006"/>
    <w:rsid w:val="00B83876"/>
    <w:rsid w:val="00B83EB4"/>
    <w:rsid w:val="00B83FE8"/>
    <w:rsid w:val="00B847BE"/>
    <w:rsid w:val="00B85019"/>
    <w:rsid w:val="00B85268"/>
    <w:rsid w:val="00B85412"/>
    <w:rsid w:val="00B86961"/>
    <w:rsid w:val="00B86B9F"/>
    <w:rsid w:val="00B86D3D"/>
    <w:rsid w:val="00B8723C"/>
    <w:rsid w:val="00B87B12"/>
    <w:rsid w:val="00B87D33"/>
    <w:rsid w:val="00B90441"/>
    <w:rsid w:val="00B90533"/>
    <w:rsid w:val="00B90A0F"/>
    <w:rsid w:val="00B922F3"/>
    <w:rsid w:val="00B92B8D"/>
    <w:rsid w:val="00B92BAB"/>
    <w:rsid w:val="00B92FE7"/>
    <w:rsid w:val="00B9391B"/>
    <w:rsid w:val="00B9423F"/>
    <w:rsid w:val="00B94469"/>
    <w:rsid w:val="00B9446B"/>
    <w:rsid w:val="00B94DF9"/>
    <w:rsid w:val="00B95272"/>
    <w:rsid w:val="00B95397"/>
    <w:rsid w:val="00B9587A"/>
    <w:rsid w:val="00B95FB5"/>
    <w:rsid w:val="00B96523"/>
    <w:rsid w:val="00B96909"/>
    <w:rsid w:val="00B9690B"/>
    <w:rsid w:val="00BA0056"/>
    <w:rsid w:val="00BA0059"/>
    <w:rsid w:val="00BA00F8"/>
    <w:rsid w:val="00BA216D"/>
    <w:rsid w:val="00BA29AC"/>
    <w:rsid w:val="00BA2B10"/>
    <w:rsid w:val="00BA2D54"/>
    <w:rsid w:val="00BA35F3"/>
    <w:rsid w:val="00BA373C"/>
    <w:rsid w:val="00BA3DBD"/>
    <w:rsid w:val="00BA3F4F"/>
    <w:rsid w:val="00BA405B"/>
    <w:rsid w:val="00BA475D"/>
    <w:rsid w:val="00BA4B53"/>
    <w:rsid w:val="00BA4D96"/>
    <w:rsid w:val="00BA5872"/>
    <w:rsid w:val="00BA5951"/>
    <w:rsid w:val="00BA5B45"/>
    <w:rsid w:val="00BA5F8B"/>
    <w:rsid w:val="00BA6129"/>
    <w:rsid w:val="00BA6D98"/>
    <w:rsid w:val="00BA759D"/>
    <w:rsid w:val="00BA7A00"/>
    <w:rsid w:val="00BA7AED"/>
    <w:rsid w:val="00BB090A"/>
    <w:rsid w:val="00BB0A63"/>
    <w:rsid w:val="00BB0BF5"/>
    <w:rsid w:val="00BB0C55"/>
    <w:rsid w:val="00BB0E03"/>
    <w:rsid w:val="00BB1296"/>
    <w:rsid w:val="00BB194C"/>
    <w:rsid w:val="00BB1C2D"/>
    <w:rsid w:val="00BB2607"/>
    <w:rsid w:val="00BB2A3C"/>
    <w:rsid w:val="00BB34F6"/>
    <w:rsid w:val="00BB3D88"/>
    <w:rsid w:val="00BB422F"/>
    <w:rsid w:val="00BB447B"/>
    <w:rsid w:val="00BB457B"/>
    <w:rsid w:val="00BB47CE"/>
    <w:rsid w:val="00BB5D51"/>
    <w:rsid w:val="00BB61F7"/>
    <w:rsid w:val="00BB6327"/>
    <w:rsid w:val="00BB66DE"/>
    <w:rsid w:val="00BB6E07"/>
    <w:rsid w:val="00BB75E1"/>
    <w:rsid w:val="00BB7C58"/>
    <w:rsid w:val="00BC06C7"/>
    <w:rsid w:val="00BC0E69"/>
    <w:rsid w:val="00BC1356"/>
    <w:rsid w:val="00BC22A7"/>
    <w:rsid w:val="00BC24FB"/>
    <w:rsid w:val="00BC275A"/>
    <w:rsid w:val="00BC2B2F"/>
    <w:rsid w:val="00BC2D87"/>
    <w:rsid w:val="00BC2D8B"/>
    <w:rsid w:val="00BC37C1"/>
    <w:rsid w:val="00BC3B04"/>
    <w:rsid w:val="00BC4092"/>
    <w:rsid w:val="00BC41BD"/>
    <w:rsid w:val="00BC4BFD"/>
    <w:rsid w:val="00BC4CBB"/>
    <w:rsid w:val="00BC4DC0"/>
    <w:rsid w:val="00BC4E77"/>
    <w:rsid w:val="00BC5013"/>
    <w:rsid w:val="00BC531B"/>
    <w:rsid w:val="00BC5E4D"/>
    <w:rsid w:val="00BC69C9"/>
    <w:rsid w:val="00BC6C4D"/>
    <w:rsid w:val="00BC6FDD"/>
    <w:rsid w:val="00BC7231"/>
    <w:rsid w:val="00BD0BD4"/>
    <w:rsid w:val="00BD0E2D"/>
    <w:rsid w:val="00BD1642"/>
    <w:rsid w:val="00BD17B7"/>
    <w:rsid w:val="00BD23FD"/>
    <w:rsid w:val="00BD25EE"/>
    <w:rsid w:val="00BD267C"/>
    <w:rsid w:val="00BD31AC"/>
    <w:rsid w:val="00BD36DD"/>
    <w:rsid w:val="00BD3746"/>
    <w:rsid w:val="00BD3E75"/>
    <w:rsid w:val="00BD3FD7"/>
    <w:rsid w:val="00BD448A"/>
    <w:rsid w:val="00BD48C8"/>
    <w:rsid w:val="00BD4A04"/>
    <w:rsid w:val="00BD620E"/>
    <w:rsid w:val="00BD6281"/>
    <w:rsid w:val="00BD6508"/>
    <w:rsid w:val="00BD6873"/>
    <w:rsid w:val="00BD6C9B"/>
    <w:rsid w:val="00BD7629"/>
    <w:rsid w:val="00BD7E9B"/>
    <w:rsid w:val="00BD7F68"/>
    <w:rsid w:val="00BE09C2"/>
    <w:rsid w:val="00BE0EF3"/>
    <w:rsid w:val="00BE1246"/>
    <w:rsid w:val="00BE138F"/>
    <w:rsid w:val="00BE142B"/>
    <w:rsid w:val="00BE1655"/>
    <w:rsid w:val="00BE2102"/>
    <w:rsid w:val="00BE2411"/>
    <w:rsid w:val="00BE3025"/>
    <w:rsid w:val="00BE34CF"/>
    <w:rsid w:val="00BE3C75"/>
    <w:rsid w:val="00BE3CB8"/>
    <w:rsid w:val="00BE4F8D"/>
    <w:rsid w:val="00BE5014"/>
    <w:rsid w:val="00BE54DE"/>
    <w:rsid w:val="00BE5B26"/>
    <w:rsid w:val="00BE62FF"/>
    <w:rsid w:val="00BE6404"/>
    <w:rsid w:val="00BE6AC5"/>
    <w:rsid w:val="00BE7083"/>
    <w:rsid w:val="00BE7356"/>
    <w:rsid w:val="00BE77CD"/>
    <w:rsid w:val="00BE79ED"/>
    <w:rsid w:val="00BE7B62"/>
    <w:rsid w:val="00BE7BC6"/>
    <w:rsid w:val="00BF0A8C"/>
    <w:rsid w:val="00BF134E"/>
    <w:rsid w:val="00BF27DB"/>
    <w:rsid w:val="00BF2E92"/>
    <w:rsid w:val="00BF3099"/>
    <w:rsid w:val="00BF3789"/>
    <w:rsid w:val="00BF3BDC"/>
    <w:rsid w:val="00BF3F83"/>
    <w:rsid w:val="00BF46B3"/>
    <w:rsid w:val="00BF4783"/>
    <w:rsid w:val="00BF5112"/>
    <w:rsid w:val="00BF56D5"/>
    <w:rsid w:val="00BF57AA"/>
    <w:rsid w:val="00BF5ACA"/>
    <w:rsid w:val="00BF5D9A"/>
    <w:rsid w:val="00BF5F29"/>
    <w:rsid w:val="00BF62E7"/>
    <w:rsid w:val="00BF6CE4"/>
    <w:rsid w:val="00BF7110"/>
    <w:rsid w:val="00BF794B"/>
    <w:rsid w:val="00BF79AE"/>
    <w:rsid w:val="00C0047C"/>
    <w:rsid w:val="00C00505"/>
    <w:rsid w:val="00C009FE"/>
    <w:rsid w:val="00C01084"/>
    <w:rsid w:val="00C01818"/>
    <w:rsid w:val="00C01BC7"/>
    <w:rsid w:val="00C01D1F"/>
    <w:rsid w:val="00C021BA"/>
    <w:rsid w:val="00C027DE"/>
    <w:rsid w:val="00C032BC"/>
    <w:rsid w:val="00C0339C"/>
    <w:rsid w:val="00C03E69"/>
    <w:rsid w:val="00C03EAB"/>
    <w:rsid w:val="00C04142"/>
    <w:rsid w:val="00C042BB"/>
    <w:rsid w:val="00C04A9A"/>
    <w:rsid w:val="00C04D3D"/>
    <w:rsid w:val="00C052B3"/>
    <w:rsid w:val="00C052DB"/>
    <w:rsid w:val="00C05D34"/>
    <w:rsid w:val="00C066E3"/>
    <w:rsid w:val="00C06788"/>
    <w:rsid w:val="00C06BB0"/>
    <w:rsid w:val="00C06CD2"/>
    <w:rsid w:val="00C06E13"/>
    <w:rsid w:val="00C0706E"/>
    <w:rsid w:val="00C072A5"/>
    <w:rsid w:val="00C077CB"/>
    <w:rsid w:val="00C079B6"/>
    <w:rsid w:val="00C07AF6"/>
    <w:rsid w:val="00C100C1"/>
    <w:rsid w:val="00C10A57"/>
    <w:rsid w:val="00C10E37"/>
    <w:rsid w:val="00C11A27"/>
    <w:rsid w:val="00C11A33"/>
    <w:rsid w:val="00C11CD2"/>
    <w:rsid w:val="00C11E00"/>
    <w:rsid w:val="00C12666"/>
    <w:rsid w:val="00C12F31"/>
    <w:rsid w:val="00C13726"/>
    <w:rsid w:val="00C13E59"/>
    <w:rsid w:val="00C13F62"/>
    <w:rsid w:val="00C141E7"/>
    <w:rsid w:val="00C147ED"/>
    <w:rsid w:val="00C14A65"/>
    <w:rsid w:val="00C14C17"/>
    <w:rsid w:val="00C15793"/>
    <w:rsid w:val="00C159EA"/>
    <w:rsid w:val="00C15DC7"/>
    <w:rsid w:val="00C16AF9"/>
    <w:rsid w:val="00C1715B"/>
    <w:rsid w:val="00C1747A"/>
    <w:rsid w:val="00C174B3"/>
    <w:rsid w:val="00C179FA"/>
    <w:rsid w:val="00C17E44"/>
    <w:rsid w:val="00C2009A"/>
    <w:rsid w:val="00C20EAF"/>
    <w:rsid w:val="00C21029"/>
    <w:rsid w:val="00C21285"/>
    <w:rsid w:val="00C21435"/>
    <w:rsid w:val="00C21643"/>
    <w:rsid w:val="00C21921"/>
    <w:rsid w:val="00C22096"/>
    <w:rsid w:val="00C22359"/>
    <w:rsid w:val="00C229C4"/>
    <w:rsid w:val="00C22DB2"/>
    <w:rsid w:val="00C23756"/>
    <w:rsid w:val="00C23895"/>
    <w:rsid w:val="00C23A5C"/>
    <w:rsid w:val="00C23AD7"/>
    <w:rsid w:val="00C24847"/>
    <w:rsid w:val="00C248B7"/>
    <w:rsid w:val="00C25005"/>
    <w:rsid w:val="00C25E24"/>
    <w:rsid w:val="00C26262"/>
    <w:rsid w:val="00C2629C"/>
    <w:rsid w:val="00C26490"/>
    <w:rsid w:val="00C2663C"/>
    <w:rsid w:val="00C26824"/>
    <w:rsid w:val="00C26F76"/>
    <w:rsid w:val="00C270D3"/>
    <w:rsid w:val="00C27445"/>
    <w:rsid w:val="00C27DB7"/>
    <w:rsid w:val="00C30A82"/>
    <w:rsid w:val="00C30B55"/>
    <w:rsid w:val="00C30EC9"/>
    <w:rsid w:val="00C3140B"/>
    <w:rsid w:val="00C31ECE"/>
    <w:rsid w:val="00C31FEF"/>
    <w:rsid w:val="00C3233B"/>
    <w:rsid w:val="00C3246A"/>
    <w:rsid w:val="00C332B9"/>
    <w:rsid w:val="00C33562"/>
    <w:rsid w:val="00C33D06"/>
    <w:rsid w:val="00C34628"/>
    <w:rsid w:val="00C34653"/>
    <w:rsid w:val="00C34D4E"/>
    <w:rsid w:val="00C35710"/>
    <w:rsid w:val="00C357B8"/>
    <w:rsid w:val="00C3687C"/>
    <w:rsid w:val="00C36982"/>
    <w:rsid w:val="00C36AF4"/>
    <w:rsid w:val="00C371E2"/>
    <w:rsid w:val="00C372B4"/>
    <w:rsid w:val="00C376DA"/>
    <w:rsid w:val="00C37B84"/>
    <w:rsid w:val="00C37C9C"/>
    <w:rsid w:val="00C40553"/>
    <w:rsid w:val="00C41155"/>
    <w:rsid w:val="00C41AFF"/>
    <w:rsid w:val="00C41C56"/>
    <w:rsid w:val="00C42CFB"/>
    <w:rsid w:val="00C438ED"/>
    <w:rsid w:val="00C44296"/>
    <w:rsid w:val="00C443CA"/>
    <w:rsid w:val="00C446EA"/>
    <w:rsid w:val="00C44773"/>
    <w:rsid w:val="00C448A0"/>
    <w:rsid w:val="00C4499F"/>
    <w:rsid w:val="00C44D52"/>
    <w:rsid w:val="00C44DA6"/>
    <w:rsid w:val="00C45A93"/>
    <w:rsid w:val="00C45D92"/>
    <w:rsid w:val="00C45E74"/>
    <w:rsid w:val="00C45E9B"/>
    <w:rsid w:val="00C4623E"/>
    <w:rsid w:val="00C46776"/>
    <w:rsid w:val="00C46E01"/>
    <w:rsid w:val="00C473A1"/>
    <w:rsid w:val="00C474DD"/>
    <w:rsid w:val="00C4776A"/>
    <w:rsid w:val="00C47C12"/>
    <w:rsid w:val="00C5142D"/>
    <w:rsid w:val="00C51E73"/>
    <w:rsid w:val="00C52503"/>
    <w:rsid w:val="00C52D61"/>
    <w:rsid w:val="00C53A55"/>
    <w:rsid w:val="00C540BD"/>
    <w:rsid w:val="00C547CF"/>
    <w:rsid w:val="00C54C7C"/>
    <w:rsid w:val="00C54D3F"/>
    <w:rsid w:val="00C554F0"/>
    <w:rsid w:val="00C55C8A"/>
    <w:rsid w:val="00C57539"/>
    <w:rsid w:val="00C5764C"/>
    <w:rsid w:val="00C57F88"/>
    <w:rsid w:val="00C60044"/>
    <w:rsid w:val="00C60529"/>
    <w:rsid w:val="00C6070E"/>
    <w:rsid w:val="00C60A86"/>
    <w:rsid w:val="00C60D50"/>
    <w:rsid w:val="00C60F3C"/>
    <w:rsid w:val="00C610CE"/>
    <w:rsid w:val="00C61157"/>
    <w:rsid w:val="00C6125F"/>
    <w:rsid w:val="00C61384"/>
    <w:rsid w:val="00C614EB"/>
    <w:rsid w:val="00C61BF0"/>
    <w:rsid w:val="00C61FB9"/>
    <w:rsid w:val="00C624EC"/>
    <w:rsid w:val="00C62B43"/>
    <w:rsid w:val="00C62B96"/>
    <w:rsid w:val="00C62DC9"/>
    <w:rsid w:val="00C62F6F"/>
    <w:rsid w:val="00C6355B"/>
    <w:rsid w:val="00C63E4E"/>
    <w:rsid w:val="00C64141"/>
    <w:rsid w:val="00C64494"/>
    <w:rsid w:val="00C64DD2"/>
    <w:rsid w:val="00C64F71"/>
    <w:rsid w:val="00C65611"/>
    <w:rsid w:val="00C65777"/>
    <w:rsid w:val="00C65DEC"/>
    <w:rsid w:val="00C66A2B"/>
    <w:rsid w:val="00C66C97"/>
    <w:rsid w:val="00C67539"/>
    <w:rsid w:val="00C701F7"/>
    <w:rsid w:val="00C70AD7"/>
    <w:rsid w:val="00C71243"/>
    <w:rsid w:val="00C71FBF"/>
    <w:rsid w:val="00C731D3"/>
    <w:rsid w:val="00C73B43"/>
    <w:rsid w:val="00C73EA4"/>
    <w:rsid w:val="00C7400B"/>
    <w:rsid w:val="00C74162"/>
    <w:rsid w:val="00C7448E"/>
    <w:rsid w:val="00C744CD"/>
    <w:rsid w:val="00C746F3"/>
    <w:rsid w:val="00C74E79"/>
    <w:rsid w:val="00C7537F"/>
    <w:rsid w:val="00C75560"/>
    <w:rsid w:val="00C756B1"/>
    <w:rsid w:val="00C76064"/>
    <w:rsid w:val="00C76218"/>
    <w:rsid w:val="00C7628A"/>
    <w:rsid w:val="00C7667D"/>
    <w:rsid w:val="00C769BD"/>
    <w:rsid w:val="00C76B8E"/>
    <w:rsid w:val="00C779FB"/>
    <w:rsid w:val="00C77AE9"/>
    <w:rsid w:val="00C77F56"/>
    <w:rsid w:val="00C80991"/>
    <w:rsid w:val="00C80FA7"/>
    <w:rsid w:val="00C810C6"/>
    <w:rsid w:val="00C812AE"/>
    <w:rsid w:val="00C81673"/>
    <w:rsid w:val="00C8190A"/>
    <w:rsid w:val="00C8191A"/>
    <w:rsid w:val="00C82C42"/>
    <w:rsid w:val="00C82FDD"/>
    <w:rsid w:val="00C837D0"/>
    <w:rsid w:val="00C83C37"/>
    <w:rsid w:val="00C83FF7"/>
    <w:rsid w:val="00C84237"/>
    <w:rsid w:val="00C8498C"/>
    <w:rsid w:val="00C84A64"/>
    <w:rsid w:val="00C8531E"/>
    <w:rsid w:val="00C85C5A"/>
    <w:rsid w:val="00C85C8B"/>
    <w:rsid w:val="00C869ED"/>
    <w:rsid w:val="00C87358"/>
    <w:rsid w:val="00C87BCA"/>
    <w:rsid w:val="00C90D83"/>
    <w:rsid w:val="00C90ECA"/>
    <w:rsid w:val="00C90F3E"/>
    <w:rsid w:val="00C92003"/>
    <w:rsid w:val="00C925D1"/>
    <w:rsid w:val="00C9292F"/>
    <w:rsid w:val="00C92958"/>
    <w:rsid w:val="00C9326D"/>
    <w:rsid w:val="00C9327E"/>
    <w:rsid w:val="00C9336E"/>
    <w:rsid w:val="00C93482"/>
    <w:rsid w:val="00C93CBC"/>
    <w:rsid w:val="00C93FDA"/>
    <w:rsid w:val="00C9430F"/>
    <w:rsid w:val="00C94704"/>
    <w:rsid w:val="00C94FD7"/>
    <w:rsid w:val="00C954BD"/>
    <w:rsid w:val="00C957F0"/>
    <w:rsid w:val="00C961DF"/>
    <w:rsid w:val="00C96266"/>
    <w:rsid w:val="00C96B9D"/>
    <w:rsid w:val="00CA100C"/>
    <w:rsid w:val="00CA13DD"/>
    <w:rsid w:val="00CA16CD"/>
    <w:rsid w:val="00CA2B03"/>
    <w:rsid w:val="00CA3151"/>
    <w:rsid w:val="00CA34EC"/>
    <w:rsid w:val="00CA3C6E"/>
    <w:rsid w:val="00CA4054"/>
    <w:rsid w:val="00CA40C4"/>
    <w:rsid w:val="00CA54A2"/>
    <w:rsid w:val="00CA57FD"/>
    <w:rsid w:val="00CA5881"/>
    <w:rsid w:val="00CA5B07"/>
    <w:rsid w:val="00CA5C51"/>
    <w:rsid w:val="00CA5D9D"/>
    <w:rsid w:val="00CA5E5D"/>
    <w:rsid w:val="00CA608E"/>
    <w:rsid w:val="00CA60FD"/>
    <w:rsid w:val="00CA62D1"/>
    <w:rsid w:val="00CA6496"/>
    <w:rsid w:val="00CA64E4"/>
    <w:rsid w:val="00CA6D37"/>
    <w:rsid w:val="00CA6E4A"/>
    <w:rsid w:val="00CA7333"/>
    <w:rsid w:val="00CA766E"/>
    <w:rsid w:val="00CA7CD7"/>
    <w:rsid w:val="00CA7D16"/>
    <w:rsid w:val="00CA7D28"/>
    <w:rsid w:val="00CA7DC4"/>
    <w:rsid w:val="00CA7E30"/>
    <w:rsid w:val="00CB0B5A"/>
    <w:rsid w:val="00CB0DC4"/>
    <w:rsid w:val="00CB0EFA"/>
    <w:rsid w:val="00CB16CF"/>
    <w:rsid w:val="00CB1A65"/>
    <w:rsid w:val="00CB1C32"/>
    <w:rsid w:val="00CB23DF"/>
    <w:rsid w:val="00CB2568"/>
    <w:rsid w:val="00CB2831"/>
    <w:rsid w:val="00CB2D89"/>
    <w:rsid w:val="00CB2E86"/>
    <w:rsid w:val="00CB3664"/>
    <w:rsid w:val="00CB3D2A"/>
    <w:rsid w:val="00CB445B"/>
    <w:rsid w:val="00CB47C9"/>
    <w:rsid w:val="00CB4AF0"/>
    <w:rsid w:val="00CB4F56"/>
    <w:rsid w:val="00CB559D"/>
    <w:rsid w:val="00CB5817"/>
    <w:rsid w:val="00CB5E24"/>
    <w:rsid w:val="00CB64A5"/>
    <w:rsid w:val="00CB7CC1"/>
    <w:rsid w:val="00CB7DD6"/>
    <w:rsid w:val="00CB7FFD"/>
    <w:rsid w:val="00CC02E6"/>
    <w:rsid w:val="00CC04CD"/>
    <w:rsid w:val="00CC0E0B"/>
    <w:rsid w:val="00CC12A5"/>
    <w:rsid w:val="00CC153D"/>
    <w:rsid w:val="00CC1B27"/>
    <w:rsid w:val="00CC1CCE"/>
    <w:rsid w:val="00CC2381"/>
    <w:rsid w:val="00CC2CFE"/>
    <w:rsid w:val="00CC362F"/>
    <w:rsid w:val="00CC3AB0"/>
    <w:rsid w:val="00CC3F0B"/>
    <w:rsid w:val="00CC42E0"/>
    <w:rsid w:val="00CC4657"/>
    <w:rsid w:val="00CC4C26"/>
    <w:rsid w:val="00CC4FE8"/>
    <w:rsid w:val="00CC5A77"/>
    <w:rsid w:val="00CC5DF7"/>
    <w:rsid w:val="00CC636B"/>
    <w:rsid w:val="00CC672C"/>
    <w:rsid w:val="00CC6753"/>
    <w:rsid w:val="00CC7393"/>
    <w:rsid w:val="00CC740F"/>
    <w:rsid w:val="00CC75FD"/>
    <w:rsid w:val="00CC77AD"/>
    <w:rsid w:val="00CC7F31"/>
    <w:rsid w:val="00CC7F3C"/>
    <w:rsid w:val="00CD07C5"/>
    <w:rsid w:val="00CD09D3"/>
    <w:rsid w:val="00CD0C4F"/>
    <w:rsid w:val="00CD1088"/>
    <w:rsid w:val="00CD1308"/>
    <w:rsid w:val="00CD1410"/>
    <w:rsid w:val="00CD14D4"/>
    <w:rsid w:val="00CD171C"/>
    <w:rsid w:val="00CD1D05"/>
    <w:rsid w:val="00CD204E"/>
    <w:rsid w:val="00CD2DB0"/>
    <w:rsid w:val="00CD2F42"/>
    <w:rsid w:val="00CD34F6"/>
    <w:rsid w:val="00CD37A0"/>
    <w:rsid w:val="00CD409E"/>
    <w:rsid w:val="00CD423C"/>
    <w:rsid w:val="00CD4462"/>
    <w:rsid w:val="00CD4716"/>
    <w:rsid w:val="00CD473F"/>
    <w:rsid w:val="00CD4821"/>
    <w:rsid w:val="00CD4CE5"/>
    <w:rsid w:val="00CD6392"/>
    <w:rsid w:val="00CD67A1"/>
    <w:rsid w:val="00CD6DC3"/>
    <w:rsid w:val="00CD73F0"/>
    <w:rsid w:val="00CD75F3"/>
    <w:rsid w:val="00CE0236"/>
    <w:rsid w:val="00CE148B"/>
    <w:rsid w:val="00CE1C75"/>
    <w:rsid w:val="00CE2177"/>
    <w:rsid w:val="00CE2288"/>
    <w:rsid w:val="00CE2787"/>
    <w:rsid w:val="00CE2A29"/>
    <w:rsid w:val="00CE3246"/>
    <w:rsid w:val="00CE32DE"/>
    <w:rsid w:val="00CE339C"/>
    <w:rsid w:val="00CE3957"/>
    <w:rsid w:val="00CE3CE6"/>
    <w:rsid w:val="00CE46C1"/>
    <w:rsid w:val="00CE48E7"/>
    <w:rsid w:val="00CE4901"/>
    <w:rsid w:val="00CE4B7D"/>
    <w:rsid w:val="00CE55D1"/>
    <w:rsid w:val="00CE57EC"/>
    <w:rsid w:val="00CE5E91"/>
    <w:rsid w:val="00CE5F88"/>
    <w:rsid w:val="00CE649B"/>
    <w:rsid w:val="00CE6A22"/>
    <w:rsid w:val="00CE71C9"/>
    <w:rsid w:val="00CE7348"/>
    <w:rsid w:val="00CE777C"/>
    <w:rsid w:val="00CE7C84"/>
    <w:rsid w:val="00CE7CFC"/>
    <w:rsid w:val="00CF0602"/>
    <w:rsid w:val="00CF0B40"/>
    <w:rsid w:val="00CF0C76"/>
    <w:rsid w:val="00CF0D2C"/>
    <w:rsid w:val="00CF1C22"/>
    <w:rsid w:val="00CF2272"/>
    <w:rsid w:val="00CF2400"/>
    <w:rsid w:val="00CF3945"/>
    <w:rsid w:val="00CF3A9A"/>
    <w:rsid w:val="00CF3C0B"/>
    <w:rsid w:val="00CF3D52"/>
    <w:rsid w:val="00CF4ACE"/>
    <w:rsid w:val="00CF4BC5"/>
    <w:rsid w:val="00CF59D0"/>
    <w:rsid w:val="00CF5FF0"/>
    <w:rsid w:val="00CF6638"/>
    <w:rsid w:val="00CF7446"/>
    <w:rsid w:val="00CF7B24"/>
    <w:rsid w:val="00CF7C59"/>
    <w:rsid w:val="00CF7F48"/>
    <w:rsid w:val="00D008EE"/>
    <w:rsid w:val="00D0106E"/>
    <w:rsid w:val="00D019C1"/>
    <w:rsid w:val="00D01C00"/>
    <w:rsid w:val="00D03204"/>
    <w:rsid w:val="00D033C2"/>
    <w:rsid w:val="00D03453"/>
    <w:rsid w:val="00D03BED"/>
    <w:rsid w:val="00D03F9C"/>
    <w:rsid w:val="00D041DC"/>
    <w:rsid w:val="00D0424A"/>
    <w:rsid w:val="00D04E47"/>
    <w:rsid w:val="00D0549C"/>
    <w:rsid w:val="00D05DFC"/>
    <w:rsid w:val="00D06731"/>
    <w:rsid w:val="00D071C2"/>
    <w:rsid w:val="00D071E2"/>
    <w:rsid w:val="00D07955"/>
    <w:rsid w:val="00D104D0"/>
    <w:rsid w:val="00D107C8"/>
    <w:rsid w:val="00D107E0"/>
    <w:rsid w:val="00D10CE3"/>
    <w:rsid w:val="00D11861"/>
    <w:rsid w:val="00D1260C"/>
    <w:rsid w:val="00D12661"/>
    <w:rsid w:val="00D12A45"/>
    <w:rsid w:val="00D12C38"/>
    <w:rsid w:val="00D12EFF"/>
    <w:rsid w:val="00D133FA"/>
    <w:rsid w:val="00D1373C"/>
    <w:rsid w:val="00D138F8"/>
    <w:rsid w:val="00D140FD"/>
    <w:rsid w:val="00D14782"/>
    <w:rsid w:val="00D14849"/>
    <w:rsid w:val="00D14E23"/>
    <w:rsid w:val="00D15AC3"/>
    <w:rsid w:val="00D15C0E"/>
    <w:rsid w:val="00D16273"/>
    <w:rsid w:val="00D163E2"/>
    <w:rsid w:val="00D16490"/>
    <w:rsid w:val="00D17393"/>
    <w:rsid w:val="00D1778A"/>
    <w:rsid w:val="00D21257"/>
    <w:rsid w:val="00D21301"/>
    <w:rsid w:val="00D21531"/>
    <w:rsid w:val="00D21F8E"/>
    <w:rsid w:val="00D221FC"/>
    <w:rsid w:val="00D222CD"/>
    <w:rsid w:val="00D22A75"/>
    <w:rsid w:val="00D24545"/>
    <w:rsid w:val="00D24672"/>
    <w:rsid w:val="00D2467F"/>
    <w:rsid w:val="00D248CE"/>
    <w:rsid w:val="00D25253"/>
    <w:rsid w:val="00D25C71"/>
    <w:rsid w:val="00D25D6B"/>
    <w:rsid w:val="00D2603B"/>
    <w:rsid w:val="00D2663D"/>
    <w:rsid w:val="00D268DF"/>
    <w:rsid w:val="00D2737B"/>
    <w:rsid w:val="00D279C4"/>
    <w:rsid w:val="00D27C57"/>
    <w:rsid w:val="00D30EDC"/>
    <w:rsid w:val="00D310E8"/>
    <w:rsid w:val="00D312C1"/>
    <w:rsid w:val="00D3141E"/>
    <w:rsid w:val="00D31A44"/>
    <w:rsid w:val="00D32EE4"/>
    <w:rsid w:val="00D332AD"/>
    <w:rsid w:val="00D33823"/>
    <w:rsid w:val="00D339F9"/>
    <w:rsid w:val="00D33B1E"/>
    <w:rsid w:val="00D34FD1"/>
    <w:rsid w:val="00D34FFA"/>
    <w:rsid w:val="00D35C87"/>
    <w:rsid w:val="00D35DAF"/>
    <w:rsid w:val="00D361B2"/>
    <w:rsid w:val="00D365B0"/>
    <w:rsid w:val="00D37025"/>
    <w:rsid w:val="00D40186"/>
    <w:rsid w:val="00D415C9"/>
    <w:rsid w:val="00D41651"/>
    <w:rsid w:val="00D41E29"/>
    <w:rsid w:val="00D41F4D"/>
    <w:rsid w:val="00D42772"/>
    <w:rsid w:val="00D42C2E"/>
    <w:rsid w:val="00D42C4F"/>
    <w:rsid w:val="00D42F06"/>
    <w:rsid w:val="00D4320D"/>
    <w:rsid w:val="00D43274"/>
    <w:rsid w:val="00D439FE"/>
    <w:rsid w:val="00D4464A"/>
    <w:rsid w:val="00D447C7"/>
    <w:rsid w:val="00D447CB"/>
    <w:rsid w:val="00D44CA2"/>
    <w:rsid w:val="00D45021"/>
    <w:rsid w:val="00D45398"/>
    <w:rsid w:val="00D45F0A"/>
    <w:rsid w:val="00D46162"/>
    <w:rsid w:val="00D46354"/>
    <w:rsid w:val="00D4662E"/>
    <w:rsid w:val="00D468A8"/>
    <w:rsid w:val="00D46C5A"/>
    <w:rsid w:val="00D50D92"/>
    <w:rsid w:val="00D51C49"/>
    <w:rsid w:val="00D522D1"/>
    <w:rsid w:val="00D526CA"/>
    <w:rsid w:val="00D52E0A"/>
    <w:rsid w:val="00D53451"/>
    <w:rsid w:val="00D5373A"/>
    <w:rsid w:val="00D53C4E"/>
    <w:rsid w:val="00D53FFE"/>
    <w:rsid w:val="00D542F8"/>
    <w:rsid w:val="00D54CF2"/>
    <w:rsid w:val="00D54F8E"/>
    <w:rsid w:val="00D559BB"/>
    <w:rsid w:val="00D56350"/>
    <w:rsid w:val="00D57696"/>
    <w:rsid w:val="00D6008F"/>
    <w:rsid w:val="00D606D5"/>
    <w:rsid w:val="00D60793"/>
    <w:rsid w:val="00D60817"/>
    <w:rsid w:val="00D60AD9"/>
    <w:rsid w:val="00D60FC9"/>
    <w:rsid w:val="00D61805"/>
    <w:rsid w:val="00D61B0F"/>
    <w:rsid w:val="00D61B6F"/>
    <w:rsid w:val="00D61EA9"/>
    <w:rsid w:val="00D62A98"/>
    <w:rsid w:val="00D632F5"/>
    <w:rsid w:val="00D63AC5"/>
    <w:rsid w:val="00D643CD"/>
    <w:rsid w:val="00D646E3"/>
    <w:rsid w:val="00D65482"/>
    <w:rsid w:val="00D6551A"/>
    <w:rsid w:val="00D65990"/>
    <w:rsid w:val="00D65EEC"/>
    <w:rsid w:val="00D66012"/>
    <w:rsid w:val="00D66614"/>
    <w:rsid w:val="00D66E54"/>
    <w:rsid w:val="00D67475"/>
    <w:rsid w:val="00D67ED1"/>
    <w:rsid w:val="00D67FCA"/>
    <w:rsid w:val="00D70592"/>
    <w:rsid w:val="00D71253"/>
    <w:rsid w:val="00D714D3"/>
    <w:rsid w:val="00D71EE8"/>
    <w:rsid w:val="00D726CA"/>
    <w:rsid w:val="00D7283A"/>
    <w:rsid w:val="00D72D1A"/>
    <w:rsid w:val="00D735DE"/>
    <w:rsid w:val="00D73768"/>
    <w:rsid w:val="00D73ED4"/>
    <w:rsid w:val="00D741C5"/>
    <w:rsid w:val="00D7477F"/>
    <w:rsid w:val="00D74785"/>
    <w:rsid w:val="00D74ED3"/>
    <w:rsid w:val="00D750B0"/>
    <w:rsid w:val="00D75265"/>
    <w:rsid w:val="00D75F6D"/>
    <w:rsid w:val="00D76264"/>
    <w:rsid w:val="00D765C0"/>
    <w:rsid w:val="00D76BE2"/>
    <w:rsid w:val="00D76C75"/>
    <w:rsid w:val="00D77018"/>
    <w:rsid w:val="00D77575"/>
    <w:rsid w:val="00D77770"/>
    <w:rsid w:val="00D77D3C"/>
    <w:rsid w:val="00D80639"/>
    <w:rsid w:val="00D807AF"/>
    <w:rsid w:val="00D81EF6"/>
    <w:rsid w:val="00D82585"/>
    <w:rsid w:val="00D828A0"/>
    <w:rsid w:val="00D82D07"/>
    <w:rsid w:val="00D82D61"/>
    <w:rsid w:val="00D82E7F"/>
    <w:rsid w:val="00D83136"/>
    <w:rsid w:val="00D83724"/>
    <w:rsid w:val="00D844C7"/>
    <w:rsid w:val="00D84C3D"/>
    <w:rsid w:val="00D8511E"/>
    <w:rsid w:val="00D85432"/>
    <w:rsid w:val="00D85554"/>
    <w:rsid w:val="00D85B56"/>
    <w:rsid w:val="00D85B94"/>
    <w:rsid w:val="00D86444"/>
    <w:rsid w:val="00D864C6"/>
    <w:rsid w:val="00D8689C"/>
    <w:rsid w:val="00D8694E"/>
    <w:rsid w:val="00D86D5C"/>
    <w:rsid w:val="00D873B4"/>
    <w:rsid w:val="00D874BE"/>
    <w:rsid w:val="00D87710"/>
    <w:rsid w:val="00D877C5"/>
    <w:rsid w:val="00D90FF7"/>
    <w:rsid w:val="00D929E8"/>
    <w:rsid w:val="00D92ABB"/>
    <w:rsid w:val="00D932FE"/>
    <w:rsid w:val="00D93455"/>
    <w:rsid w:val="00D935AB"/>
    <w:rsid w:val="00D935F6"/>
    <w:rsid w:val="00D93B79"/>
    <w:rsid w:val="00D9401A"/>
    <w:rsid w:val="00D9404D"/>
    <w:rsid w:val="00D944F0"/>
    <w:rsid w:val="00D95136"/>
    <w:rsid w:val="00D951C7"/>
    <w:rsid w:val="00D9589D"/>
    <w:rsid w:val="00D95E53"/>
    <w:rsid w:val="00D974E3"/>
    <w:rsid w:val="00D976EB"/>
    <w:rsid w:val="00D97D9B"/>
    <w:rsid w:val="00D97F53"/>
    <w:rsid w:val="00D97F55"/>
    <w:rsid w:val="00DA04B6"/>
    <w:rsid w:val="00DA0636"/>
    <w:rsid w:val="00DA0F3B"/>
    <w:rsid w:val="00DA10FC"/>
    <w:rsid w:val="00DA1A0D"/>
    <w:rsid w:val="00DA2238"/>
    <w:rsid w:val="00DA2331"/>
    <w:rsid w:val="00DA2903"/>
    <w:rsid w:val="00DA3392"/>
    <w:rsid w:val="00DA3A31"/>
    <w:rsid w:val="00DA3DFB"/>
    <w:rsid w:val="00DA46EA"/>
    <w:rsid w:val="00DA5140"/>
    <w:rsid w:val="00DA5879"/>
    <w:rsid w:val="00DA5A94"/>
    <w:rsid w:val="00DA5D32"/>
    <w:rsid w:val="00DA65E9"/>
    <w:rsid w:val="00DA7AFD"/>
    <w:rsid w:val="00DB08B3"/>
    <w:rsid w:val="00DB1CCE"/>
    <w:rsid w:val="00DB2BBF"/>
    <w:rsid w:val="00DB2D6B"/>
    <w:rsid w:val="00DB3CD2"/>
    <w:rsid w:val="00DB3ECD"/>
    <w:rsid w:val="00DB4B79"/>
    <w:rsid w:val="00DB4CC7"/>
    <w:rsid w:val="00DB53FA"/>
    <w:rsid w:val="00DB63C8"/>
    <w:rsid w:val="00DB63F8"/>
    <w:rsid w:val="00DB67F8"/>
    <w:rsid w:val="00DB69EA"/>
    <w:rsid w:val="00DB75B4"/>
    <w:rsid w:val="00DB7DFD"/>
    <w:rsid w:val="00DC01CD"/>
    <w:rsid w:val="00DC01DA"/>
    <w:rsid w:val="00DC0611"/>
    <w:rsid w:val="00DC11FA"/>
    <w:rsid w:val="00DC131D"/>
    <w:rsid w:val="00DC19DC"/>
    <w:rsid w:val="00DC1D0C"/>
    <w:rsid w:val="00DC1D20"/>
    <w:rsid w:val="00DC3482"/>
    <w:rsid w:val="00DC3EB3"/>
    <w:rsid w:val="00DC441B"/>
    <w:rsid w:val="00DC47EB"/>
    <w:rsid w:val="00DC4E50"/>
    <w:rsid w:val="00DC6365"/>
    <w:rsid w:val="00DC6581"/>
    <w:rsid w:val="00DC729D"/>
    <w:rsid w:val="00DC7AC0"/>
    <w:rsid w:val="00DD028D"/>
    <w:rsid w:val="00DD083B"/>
    <w:rsid w:val="00DD0B48"/>
    <w:rsid w:val="00DD0BB4"/>
    <w:rsid w:val="00DD10BF"/>
    <w:rsid w:val="00DD1931"/>
    <w:rsid w:val="00DD1C3B"/>
    <w:rsid w:val="00DD23C6"/>
    <w:rsid w:val="00DD23ED"/>
    <w:rsid w:val="00DD2702"/>
    <w:rsid w:val="00DD2B35"/>
    <w:rsid w:val="00DD2F25"/>
    <w:rsid w:val="00DD309C"/>
    <w:rsid w:val="00DD3130"/>
    <w:rsid w:val="00DD3870"/>
    <w:rsid w:val="00DD4AFD"/>
    <w:rsid w:val="00DD63B5"/>
    <w:rsid w:val="00DD63E5"/>
    <w:rsid w:val="00DD67C1"/>
    <w:rsid w:val="00DD6F63"/>
    <w:rsid w:val="00DD71D1"/>
    <w:rsid w:val="00DD73FD"/>
    <w:rsid w:val="00DE029C"/>
    <w:rsid w:val="00DE0D87"/>
    <w:rsid w:val="00DE12C6"/>
    <w:rsid w:val="00DE14BA"/>
    <w:rsid w:val="00DE1C57"/>
    <w:rsid w:val="00DE1DD5"/>
    <w:rsid w:val="00DE3442"/>
    <w:rsid w:val="00DE3AC3"/>
    <w:rsid w:val="00DE3B61"/>
    <w:rsid w:val="00DE3F55"/>
    <w:rsid w:val="00DE4C8F"/>
    <w:rsid w:val="00DE4E7B"/>
    <w:rsid w:val="00DE532B"/>
    <w:rsid w:val="00DE617D"/>
    <w:rsid w:val="00DE632C"/>
    <w:rsid w:val="00DE6A5E"/>
    <w:rsid w:val="00DE6B49"/>
    <w:rsid w:val="00DE714E"/>
    <w:rsid w:val="00DE71C0"/>
    <w:rsid w:val="00DE760E"/>
    <w:rsid w:val="00DE77F7"/>
    <w:rsid w:val="00DF0082"/>
    <w:rsid w:val="00DF01D9"/>
    <w:rsid w:val="00DF0CC3"/>
    <w:rsid w:val="00DF1100"/>
    <w:rsid w:val="00DF1747"/>
    <w:rsid w:val="00DF1858"/>
    <w:rsid w:val="00DF1A1F"/>
    <w:rsid w:val="00DF1A70"/>
    <w:rsid w:val="00DF1EEC"/>
    <w:rsid w:val="00DF203B"/>
    <w:rsid w:val="00DF29CE"/>
    <w:rsid w:val="00DF2C63"/>
    <w:rsid w:val="00DF3D5D"/>
    <w:rsid w:val="00DF437C"/>
    <w:rsid w:val="00DF481B"/>
    <w:rsid w:val="00DF4826"/>
    <w:rsid w:val="00DF48E2"/>
    <w:rsid w:val="00DF4E61"/>
    <w:rsid w:val="00DF5C3D"/>
    <w:rsid w:val="00DF5E65"/>
    <w:rsid w:val="00DF66C7"/>
    <w:rsid w:val="00DF67D1"/>
    <w:rsid w:val="00DF6EB3"/>
    <w:rsid w:val="00DF7361"/>
    <w:rsid w:val="00E000FD"/>
    <w:rsid w:val="00E00150"/>
    <w:rsid w:val="00E0032B"/>
    <w:rsid w:val="00E00BD1"/>
    <w:rsid w:val="00E00E72"/>
    <w:rsid w:val="00E00FAF"/>
    <w:rsid w:val="00E01159"/>
    <w:rsid w:val="00E0123C"/>
    <w:rsid w:val="00E01576"/>
    <w:rsid w:val="00E01589"/>
    <w:rsid w:val="00E016C6"/>
    <w:rsid w:val="00E0180C"/>
    <w:rsid w:val="00E01F5F"/>
    <w:rsid w:val="00E01FD2"/>
    <w:rsid w:val="00E02252"/>
    <w:rsid w:val="00E02584"/>
    <w:rsid w:val="00E02D82"/>
    <w:rsid w:val="00E0336C"/>
    <w:rsid w:val="00E035C4"/>
    <w:rsid w:val="00E0409B"/>
    <w:rsid w:val="00E042BD"/>
    <w:rsid w:val="00E04BFF"/>
    <w:rsid w:val="00E04ECC"/>
    <w:rsid w:val="00E052F1"/>
    <w:rsid w:val="00E05B25"/>
    <w:rsid w:val="00E05CE3"/>
    <w:rsid w:val="00E0651F"/>
    <w:rsid w:val="00E06A89"/>
    <w:rsid w:val="00E06CBE"/>
    <w:rsid w:val="00E06EC5"/>
    <w:rsid w:val="00E07106"/>
    <w:rsid w:val="00E07133"/>
    <w:rsid w:val="00E07F42"/>
    <w:rsid w:val="00E102A8"/>
    <w:rsid w:val="00E10399"/>
    <w:rsid w:val="00E10C1F"/>
    <w:rsid w:val="00E112A8"/>
    <w:rsid w:val="00E1178D"/>
    <w:rsid w:val="00E12003"/>
    <w:rsid w:val="00E12938"/>
    <w:rsid w:val="00E1305B"/>
    <w:rsid w:val="00E13161"/>
    <w:rsid w:val="00E1431E"/>
    <w:rsid w:val="00E146D4"/>
    <w:rsid w:val="00E1477D"/>
    <w:rsid w:val="00E148D7"/>
    <w:rsid w:val="00E154FC"/>
    <w:rsid w:val="00E15755"/>
    <w:rsid w:val="00E15ECF"/>
    <w:rsid w:val="00E162B0"/>
    <w:rsid w:val="00E1644D"/>
    <w:rsid w:val="00E1668E"/>
    <w:rsid w:val="00E167B9"/>
    <w:rsid w:val="00E168D4"/>
    <w:rsid w:val="00E16B9E"/>
    <w:rsid w:val="00E17052"/>
    <w:rsid w:val="00E17B82"/>
    <w:rsid w:val="00E17E0F"/>
    <w:rsid w:val="00E2030E"/>
    <w:rsid w:val="00E20696"/>
    <w:rsid w:val="00E20F9E"/>
    <w:rsid w:val="00E21BD3"/>
    <w:rsid w:val="00E22725"/>
    <w:rsid w:val="00E238B9"/>
    <w:rsid w:val="00E23BF2"/>
    <w:rsid w:val="00E25990"/>
    <w:rsid w:val="00E26146"/>
    <w:rsid w:val="00E26351"/>
    <w:rsid w:val="00E266A2"/>
    <w:rsid w:val="00E27396"/>
    <w:rsid w:val="00E302C8"/>
    <w:rsid w:val="00E308D1"/>
    <w:rsid w:val="00E316C1"/>
    <w:rsid w:val="00E31834"/>
    <w:rsid w:val="00E31A43"/>
    <w:rsid w:val="00E32845"/>
    <w:rsid w:val="00E33695"/>
    <w:rsid w:val="00E36567"/>
    <w:rsid w:val="00E36EF0"/>
    <w:rsid w:val="00E374C1"/>
    <w:rsid w:val="00E37694"/>
    <w:rsid w:val="00E379A3"/>
    <w:rsid w:val="00E37A0F"/>
    <w:rsid w:val="00E37A9E"/>
    <w:rsid w:val="00E402F1"/>
    <w:rsid w:val="00E4030C"/>
    <w:rsid w:val="00E404C1"/>
    <w:rsid w:val="00E40823"/>
    <w:rsid w:val="00E4088A"/>
    <w:rsid w:val="00E40A80"/>
    <w:rsid w:val="00E40C85"/>
    <w:rsid w:val="00E4109A"/>
    <w:rsid w:val="00E41797"/>
    <w:rsid w:val="00E417AF"/>
    <w:rsid w:val="00E429C8"/>
    <w:rsid w:val="00E43338"/>
    <w:rsid w:val="00E442BF"/>
    <w:rsid w:val="00E4435E"/>
    <w:rsid w:val="00E44FA9"/>
    <w:rsid w:val="00E45562"/>
    <w:rsid w:val="00E457DD"/>
    <w:rsid w:val="00E45AED"/>
    <w:rsid w:val="00E45F55"/>
    <w:rsid w:val="00E45F8C"/>
    <w:rsid w:val="00E46537"/>
    <w:rsid w:val="00E46869"/>
    <w:rsid w:val="00E46BC9"/>
    <w:rsid w:val="00E46CBC"/>
    <w:rsid w:val="00E46D09"/>
    <w:rsid w:val="00E47F27"/>
    <w:rsid w:val="00E50461"/>
    <w:rsid w:val="00E50C1C"/>
    <w:rsid w:val="00E510E9"/>
    <w:rsid w:val="00E516D8"/>
    <w:rsid w:val="00E517A9"/>
    <w:rsid w:val="00E518D7"/>
    <w:rsid w:val="00E51A0C"/>
    <w:rsid w:val="00E524C0"/>
    <w:rsid w:val="00E52B88"/>
    <w:rsid w:val="00E52D67"/>
    <w:rsid w:val="00E52DDC"/>
    <w:rsid w:val="00E53950"/>
    <w:rsid w:val="00E53C58"/>
    <w:rsid w:val="00E53C96"/>
    <w:rsid w:val="00E543DF"/>
    <w:rsid w:val="00E5443A"/>
    <w:rsid w:val="00E54995"/>
    <w:rsid w:val="00E54D55"/>
    <w:rsid w:val="00E54F82"/>
    <w:rsid w:val="00E5511A"/>
    <w:rsid w:val="00E55CFB"/>
    <w:rsid w:val="00E56004"/>
    <w:rsid w:val="00E560EF"/>
    <w:rsid w:val="00E561A8"/>
    <w:rsid w:val="00E5651E"/>
    <w:rsid w:val="00E56A9C"/>
    <w:rsid w:val="00E56C9C"/>
    <w:rsid w:val="00E570D6"/>
    <w:rsid w:val="00E57BC0"/>
    <w:rsid w:val="00E601DA"/>
    <w:rsid w:val="00E605D5"/>
    <w:rsid w:val="00E60608"/>
    <w:rsid w:val="00E609C2"/>
    <w:rsid w:val="00E6100C"/>
    <w:rsid w:val="00E617A4"/>
    <w:rsid w:val="00E61987"/>
    <w:rsid w:val="00E619B3"/>
    <w:rsid w:val="00E61E40"/>
    <w:rsid w:val="00E62C21"/>
    <w:rsid w:val="00E62F2C"/>
    <w:rsid w:val="00E6310D"/>
    <w:rsid w:val="00E6393E"/>
    <w:rsid w:val="00E64F60"/>
    <w:rsid w:val="00E6568D"/>
    <w:rsid w:val="00E65AE2"/>
    <w:rsid w:val="00E6648C"/>
    <w:rsid w:val="00E67087"/>
    <w:rsid w:val="00E67B1E"/>
    <w:rsid w:val="00E67E2D"/>
    <w:rsid w:val="00E705D4"/>
    <w:rsid w:val="00E70855"/>
    <w:rsid w:val="00E70B72"/>
    <w:rsid w:val="00E70F27"/>
    <w:rsid w:val="00E7118E"/>
    <w:rsid w:val="00E719A9"/>
    <w:rsid w:val="00E719F0"/>
    <w:rsid w:val="00E720D4"/>
    <w:rsid w:val="00E7272B"/>
    <w:rsid w:val="00E72BC2"/>
    <w:rsid w:val="00E72D66"/>
    <w:rsid w:val="00E72DB4"/>
    <w:rsid w:val="00E72E5E"/>
    <w:rsid w:val="00E72F68"/>
    <w:rsid w:val="00E74018"/>
    <w:rsid w:val="00E742B9"/>
    <w:rsid w:val="00E7524B"/>
    <w:rsid w:val="00E7579E"/>
    <w:rsid w:val="00E75948"/>
    <w:rsid w:val="00E75999"/>
    <w:rsid w:val="00E76271"/>
    <w:rsid w:val="00E7691E"/>
    <w:rsid w:val="00E76EBF"/>
    <w:rsid w:val="00E7700F"/>
    <w:rsid w:val="00E77706"/>
    <w:rsid w:val="00E77AF3"/>
    <w:rsid w:val="00E77AF7"/>
    <w:rsid w:val="00E77CD8"/>
    <w:rsid w:val="00E77E56"/>
    <w:rsid w:val="00E77E90"/>
    <w:rsid w:val="00E77F37"/>
    <w:rsid w:val="00E801C6"/>
    <w:rsid w:val="00E80581"/>
    <w:rsid w:val="00E80966"/>
    <w:rsid w:val="00E80999"/>
    <w:rsid w:val="00E80C61"/>
    <w:rsid w:val="00E80FB9"/>
    <w:rsid w:val="00E816A8"/>
    <w:rsid w:val="00E81F63"/>
    <w:rsid w:val="00E82D88"/>
    <w:rsid w:val="00E82E25"/>
    <w:rsid w:val="00E83B33"/>
    <w:rsid w:val="00E84602"/>
    <w:rsid w:val="00E847F5"/>
    <w:rsid w:val="00E84819"/>
    <w:rsid w:val="00E84BAB"/>
    <w:rsid w:val="00E84FB1"/>
    <w:rsid w:val="00E854EC"/>
    <w:rsid w:val="00E85AEE"/>
    <w:rsid w:val="00E85BA9"/>
    <w:rsid w:val="00E85BB1"/>
    <w:rsid w:val="00E865D0"/>
    <w:rsid w:val="00E86ABB"/>
    <w:rsid w:val="00E86F81"/>
    <w:rsid w:val="00E87927"/>
    <w:rsid w:val="00E87AF1"/>
    <w:rsid w:val="00E9022C"/>
    <w:rsid w:val="00E90248"/>
    <w:rsid w:val="00E90332"/>
    <w:rsid w:val="00E9045A"/>
    <w:rsid w:val="00E9152D"/>
    <w:rsid w:val="00E91A67"/>
    <w:rsid w:val="00E92040"/>
    <w:rsid w:val="00E924A5"/>
    <w:rsid w:val="00E92A08"/>
    <w:rsid w:val="00E92FB0"/>
    <w:rsid w:val="00E93E83"/>
    <w:rsid w:val="00E93F1F"/>
    <w:rsid w:val="00E945E8"/>
    <w:rsid w:val="00E94852"/>
    <w:rsid w:val="00E94D3D"/>
    <w:rsid w:val="00E94E3B"/>
    <w:rsid w:val="00E9544B"/>
    <w:rsid w:val="00E95FC1"/>
    <w:rsid w:val="00E96B57"/>
    <w:rsid w:val="00E96D0A"/>
    <w:rsid w:val="00E97105"/>
    <w:rsid w:val="00E97199"/>
    <w:rsid w:val="00E977F4"/>
    <w:rsid w:val="00EA0046"/>
    <w:rsid w:val="00EA07EF"/>
    <w:rsid w:val="00EA125C"/>
    <w:rsid w:val="00EA16BC"/>
    <w:rsid w:val="00EA1BB1"/>
    <w:rsid w:val="00EA1C7A"/>
    <w:rsid w:val="00EA2B88"/>
    <w:rsid w:val="00EA2DDC"/>
    <w:rsid w:val="00EA45B9"/>
    <w:rsid w:val="00EA47C7"/>
    <w:rsid w:val="00EA4A94"/>
    <w:rsid w:val="00EA518B"/>
    <w:rsid w:val="00EA5783"/>
    <w:rsid w:val="00EA6FC2"/>
    <w:rsid w:val="00EA79DE"/>
    <w:rsid w:val="00EA7CC9"/>
    <w:rsid w:val="00EB0021"/>
    <w:rsid w:val="00EB0083"/>
    <w:rsid w:val="00EB01BE"/>
    <w:rsid w:val="00EB02B5"/>
    <w:rsid w:val="00EB0327"/>
    <w:rsid w:val="00EB03F5"/>
    <w:rsid w:val="00EB0D41"/>
    <w:rsid w:val="00EB0DE6"/>
    <w:rsid w:val="00EB1799"/>
    <w:rsid w:val="00EB1B56"/>
    <w:rsid w:val="00EB2A12"/>
    <w:rsid w:val="00EB2AFF"/>
    <w:rsid w:val="00EB3381"/>
    <w:rsid w:val="00EB3951"/>
    <w:rsid w:val="00EB403F"/>
    <w:rsid w:val="00EB4656"/>
    <w:rsid w:val="00EB46E3"/>
    <w:rsid w:val="00EB471D"/>
    <w:rsid w:val="00EB62ED"/>
    <w:rsid w:val="00EB779C"/>
    <w:rsid w:val="00EB7D40"/>
    <w:rsid w:val="00EC01CC"/>
    <w:rsid w:val="00EC0497"/>
    <w:rsid w:val="00EC0745"/>
    <w:rsid w:val="00EC0B8C"/>
    <w:rsid w:val="00EC125B"/>
    <w:rsid w:val="00EC1A32"/>
    <w:rsid w:val="00EC1A41"/>
    <w:rsid w:val="00EC1C1B"/>
    <w:rsid w:val="00EC1ECD"/>
    <w:rsid w:val="00EC2C74"/>
    <w:rsid w:val="00EC2F37"/>
    <w:rsid w:val="00EC413C"/>
    <w:rsid w:val="00EC4271"/>
    <w:rsid w:val="00EC431B"/>
    <w:rsid w:val="00EC43C5"/>
    <w:rsid w:val="00EC44DC"/>
    <w:rsid w:val="00EC512E"/>
    <w:rsid w:val="00EC5C68"/>
    <w:rsid w:val="00EC6505"/>
    <w:rsid w:val="00EC6A6B"/>
    <w:rsid w:val="00EC6F33"/>
    <w:rsid w:val="00EC730B"/>
    <w:rsid w:val="00EC75BE"/>
    <w:rsid w:val="00EC79C7"/>
    <w:rsid w:val="00ED0015"/>
    <w:rsid w:val="00ED01E6"/>
    <w:rsid w:val="00ED06A1"/>
    <w:rsid w:val="00ED0D92"/>
    <w:rsid w:val="00ED0DDA"/>
    <w:rsid w:val="00ED11FD"/>
    <w:rsid w:val="00ED1C67"/>
    <w:rsid w:val="00ED234F"/>
    <w:rsid w:val="00ED26B3"/>
    <w:rsid w:val="00ED2782"/>
    <w:rsid w:val="00ED2A54"/>
    <w:rsid w:val="00ED30A8"/>
    <w:rsid w:val="00ED3568"/>
    <w:rsid w:val="00ED4355"/>
    <w:rsid w:val="00ED44C8"/>
    <w:rsid w:val="00ED492E"/>
    <w:rsid w:val="00ED49DC"/>
    <w:rsid w:val="00ED4F28"/>
    <w:rsid w:val="00ED5397"/>
    <w:rsid w:val="00ED571B"/>
    <w:rsid w:val="00ED66E2"/>
    <w:rsid w:val="00ED7407"/>
    <w:rsid w:val="00ED7413"/>
    <w:rsid w:val="00EE04D7"/>
    <w:rsid w:val="00EE0F61"/>
    <w:rsid w:val="00EE101E"/>
    <w:rsid w:val="00EE1899"/>
    <w:rsid w:val="00EE18ED"/>
    <w:rsid w:val="00EE1B67"/>
    <w:rsid w:val="00EE1B9B"/>
    <w:rsid w:val="00EE1DDB"/>
    <w:rsid w:val="00EE2055"/>
    <w:rsid w:val="00EE2174"/>
    <w:rsid w:val="00EE2493"/>
    <w:rsid w:val="00EE2648"/>
    <w:rsid w:val="00EE281C"/>
    <w:rsid w:val="00EE2A25"/>
    <w:rsid w:val="00EE2DD5"/>
    <w:rsid w:val="00EE36BC"/>
    <w:rsid w:val="00EE3C33"/>
    <w:rsid w:val="00EE51A4"/>
    <w:rsid w:val="00EE57FF"/>
    <w:rsid w:val="00EE5816"/>
    <w:rsid w:val="00EE58A5"/>
    <w:rsid w:val="00EE5B9D"/>
    <w:rsid w:val="00EE6132"/>
    <w:rsid w:val="00EE6F72"/>
    <w:rsid w:val="00EE71CB"/>
    <w:rsid w:val="00EE7AF9"/>
    <w:rsid w:val="00EF1FA3"/>
    <w:rsid w:val="00EF250D"/>
    <w:rsid w:val="00EF299C"/>
    <w:rsid w:val="00EF2A31"/>
    <w:rsid w:val="00EF2C34"/>
    <w:rsid w:val="00EF377B"/>
    <w:rsid w:val="00EF3AD1"/>
    <w:rsid w:val="00EF3E65"/>
    <w:rsid w:val="00EF3E69"/>
    <w:rsid w:val="00EF3FA6"/>
    <w:rsid w:val="00EF4C59"/>
    <w:rsid w:val="00EF4ED3"/>
    <w:rsid w:val="00EF60A6"/>
    <w:rsid w:val="00EF6595"/>
    <w:rsid w:val="00EF6744"/>
    <w:rsid w:val="00EF731C"/>
    <w:rsid w:val="00EF771F"/>
    <w:rsid w:val="00EF7840"/>
    <w:rsid w:val="00EF7E3B"/>
    <w:rsid w:val="00F00741"/>
    <w:rsid w:val="00F00DDC"/>
    <w:rsid w:val="00F01399"/>
    <w:rsid w:val="00F013C8"/>
    <w:rsid w:val="00F01F70"/>
    <w:rsid w:val="00F02039"/>
    <w:rsid w:val="00F0232B"/>
    <w:rsid w:val="00F02383"/>
    <w:rsid w:val="00F024E8"/>
    <w:rsid w:val="00F0294E"/>
    <w:rsid w:val="00F03143"/>
    <w:rsid w:val="00F03194"/>
    <w:rsid w:val="00F04602"/>
    <w:rsid w:val="00F04733"/>
    <w:rsid w:val="00F047DD"/>
    <w:rsid w:val="00F05491"/>
    <w:rsid w:val="00F05A1D"/>
    <w:rsid w:val="00F06DF6"/>
    <w:rsid w:val="00F06FBB"/>
    <w:rsid w:val="00F07081"/>
    <w:rsid w:val="00F101EA"/>
    <w:rsid w:val="00F10232"/>
    <w:rsid w:val="00F1036F"/>
    <w:rsid w:val="00F10501"/>
    <w:rsid w:val="00F1072C"/>
    <w:rsid w:val="00F109DC"/>
    <w:rsid w:val="00F110CE"/>
    <w:rsid w:val="00F11A68"/>
    <w:rsid w:val="00F11A9F"/>
    <w:rsid w:val="00F11C6A"/>
    <w:rsid w:val="00F11EE9"/>
    <w:rsid w:val="00F11F5A"/>
    <w:rsid w:val="00F120B7"/>
    <w:rsid w:val="00F1265C"/>
    <w:rsid w:val="00F12E96"/>
    <w:rsid w:val="00F12F60"/>
    <w:rsid w:val="00F12FA4"/>
    <w:rsid w:val="00F1302C"/>
    <w:rsid w:val="00F138A9"/>
    <w:rsid w:val="00F13903"/>
    <w:rsid w:val="00F13D0A"/>
    <w:rsid w:val="00F14026"/>
    <w:rsid w:val="00F1441E"/>
    <w:rsid w:val="00F1449C"/>
    <w:rsid w:val="00F14A8D"/>
    <w:rsid w:val="00F14D4E"/>
    <w:rsid w:val="00F14E41"/>
    <w:rsid w:val="00F14ECF"/>
    <w:rsid w:val="00F15217"/>
    <w:rsid w:val="00F168B6"/>
    <w:rsid w:val="00F168FD"/>
    <w:rsid w:val="00F16CDF"/>
    <w:rsid w:val="00F16FB7"/>
    <w:rsid w:val="00F174B7"/>
    <w:rsid w:val="00F17552"/>
    <w:rsid w:val="00F17886"/>
    <w:rsid w:val="00F20448"/>
    <w:rsid w:val="00F211F0"/>
    <w:rsid w:val="00F2202E"/>
    <w:rsid w:val="00F22349"/>
    <w:rsid w:val="00F22922"/>
    <w:rsid w:val="00F22D1F"/>
    <w:rsid w:val="00F22E72"/>
    <w:rsid w:val="00F23DE4"/>
    <w:rsid w:val="00F24072"/>
    <w:rsid w:val="00F24086"/>
    <w:rsid w:val="00F24300"/>
    <w:rsid w:val="00F2432D"/>
    <w:rsid w:val="00F24BB9"/>
    <w:rsid w:val="00F25363"/>
    <w:rsid w:val="00F25FEE"/>
    <w:rsid w:val="00F26979"/>
    <w:rsid w:val="00F27032"/>
    <w:rsid w:val="00F27363"/>
    <w:rsid w:val="00F276DA"/>
    <w:rsid w:val="00F27EE0"/>
    <w:rsid w:val="00F30449"/>
    <w:rsid w:val="00F306D6"/>
    <w:rsid w:val="00F30755"/>
    <w:rsid w:val="00F30D11"/>
    <w:rsid w:val="00F317BA"/>
    <w:rsid w:val="00F31E93"/>
    <w:rsid w:val="00F31EEE"/>
    <w:rsid w:val="00F32B3C"/>
    <w:rsid w:val="00F32FDA"/>
    <w:rsid w:val="00F333C8"/>
    <w:rsid w:val="00F33CF7"/>
    <w:rsid w:val="00F33D33"/>
    <w:rsid w:val="00F343C9"/>
    <w:rsid w:val="00F35364"/>
    <w:rsid w:val="00F3567D"/>
    <w:rsid w:val="00F36259"/>
    <w:rsid w:val="00F377AD"/>
    <w:rsid w:val="00F37C68"/>
    <w:rsid w:val="00F4054C"/>
    <w:rsid w:val="00F40969"/>
    <w:rsid w:val="00F41065"/>
    <w:rsid w:val="00F412B7"/>
    <w:rsid w:val="00F415A3"/>
    <w:rsid w:val="00F415BF"/>
    <w:rsid w:val="00F42166"/>
    <w:rsid w:val="00F4244D"/>
    <w:rsid w:val="00F44653"/>
    <w:rsid w:val="00F44981"/>
    <w:rsid w:val="00F44C1D"/>
    <w:rsid w:val="00F44CC5"/>
    <w:rsid w:val="00F45258"/>
    <w:rsid w:val="00F45314"/>
    <w:rsid w:val="00F4595C"/>
    <w:rsid w:val="00F464A6"/>
    <w:rsid w:val="00F464A8"/>
    <w:rsid w:val="00F4679A"/>
    <w:rsid w:val="00F47163"/>
    <w:rsid w:val="00F477B4"/>
    <w:rsid w:val="00F47D9D"/>
    <w:rsid w:val="00F50640"/>
    <w:rsid w:val="00F50FC1"/>
    <w:rsid w:val="00F5146F"/>
    <w:rsid w:val="00F51500"/>
    <w:rsid w:val="00F5194D"/>
    <w:rsid w:val="00F527E6"/>
    <w:rsid w:val="00F52AEC"/>
    <w:rsid w:val="00F52DC1"/>
    <w:rsid w:val="00F52E8F"/>
    <w:rsid w:val="00F52EA3"/>
    <w:rsid w:val="00F536DB"/>
    <w:rsid w:val="00F53F0E"/>
    <w:rsid w:val="00F540DC"/>
    <w:rsid w:val="00F5430E"/>
    <w:rsid w:val="00F543D7"/>
    <w:rsid w:val="00F559AC"/>
    <w:rsid w:val="00F55EB1"/>
    <w:rsid w:val="00F566D1"/>
    <w:rsid w:val="00F57086"/>
    <w:rsid w:val="00F57091"/>
    <w:rsid w:val="00F5754B"/>
    <w:rsid w:val="00F575CB"/>
    <w:rsid w:val="00F606D5"/>
    <w:rsid w:val="00F60C32"/>
    <w:rsid w:val="00F615EA"/>
    <w:rsid w:val="00F616B7"/>
    <w:rsid w:val="00F61789"/>
    <w:rsid w:val="00F61DA7"/>
    <w:rsid w:val="00F622BE"/>
    <w:rsid w:val="00F62C62"/>
    <w:rsid w:val="00F63108"/>
    <w:rsid w:val="00F635C4"/>
    <w:rsid w:val="00F63B3E"/>
    <w:rsid w:val="00F64CF6"/>
    <w:rsid w:val="00F64EF0"/>
    <w:rsid w:val="00F657F1"/>
    <w:rsid w:val="00F659E1"/>
    <w:rsid w:val="00F65C1C"/>
    <w:rsid w:val="00F66AA6"/>
    <w:rsid w:val="00F674CB"/>
    <w:rsid w:val="00F678BD"/>
    <w:rsid w:val="00F67932"/>
    <w:rsid w:val="00F67A05"/>
    <w:rsid w:val="00F67A76"/>
    <w:rsid w:val="00F70234"/>
    <w:rsid w:val="00F70324"/>
    <w:rsid w:val="00F70DC4"/>
    <w:rsid w:val="00F71C88"/>
    <w:rsid w:val="00F71FC0"/>
    <w:rsid w:val="00F72917"/>
    <w:rsid w:val="00F72A3A"/>
    <w:rsid w:val="00F736E7"/>
    <w:rsid w:val="00F73708"/>
    <w:rsid w:val="00F7389F"/>
    <w:rsid w:val="00F74203"/>
    <w:rsid w:val="00F7485F"/>
    <w:rsid w:val="00F74F51"/>
    <w:rsid w:val="00F7587A"/>
    <w:rsid w:val="00F760D6"/>
    <w:rsid w:val="00F762B1"/>
    <w:rsid w:val="00F764DC"/>
    <w:rsid w:val="00F76D00"/>
    <w:rsid w:val="00F77C5D"/>
    <w:rsid w:val="00F803AE"/>
    <w:rsid w:val="00F80C87"/>
    <w:rsid w:val="00F80D1F"/>
    <w:rsid w:val="00F80DF0"/>
    <w:rsid w:val="00F80E39"/>
    <w:rsid w:val="00F80F4E"/>
    <w:rsid w:val="00F81AFA"/>
    <w:rsid w:val="00F81E18"/>
    <w:rsid w:val="00F826FE"/>
    <w:rsid w:val="00F83D9A"/>
    <w:rsid w:val="00F841CE"/>
    <w:rsid w:val="00F8463A"/>
    <w:rsid w:val="00F84741"/>
    <w:rsid w:val="00F84B2F"/>
    <w:rsid w:val="00F85493"/>
    <w:rsid w:val="00F8603C"/>
    <w:rsid w:val="00F861DB"/>
    <w:rsid w:val="00F86200"/>
    <w:rsid w:val="00F862CD"/>
    <w:rsid w:val="00F866F2"/>
    <w:rsid w:val="00F877F6"/>
    <w:rsid w:val="00F87C29"/>
    <w:rsid w:val="00F9066F"/>
    <w:rsid w:val="00F90BBC"/>
    <w:rsid w:val="00F90C93"/>
    <w:rsid w:val="00F91325"/>
    <w:rsid w:val="00F915F7"/>
    <w:rsid w:val="00F918C6"/>
    <w:rsid w:val="00F919B6"/>
    <w:rsid w:val="00F93012"/>
    <w:rsid w:val="00F93027"/>
    <w:rsid w:val="00F9457A"/>
    <w:rsid w:val="00F94587"/>
    <w:rsid w:val="00F94890"/>
    <w:rsid w:val="00F94DF9"/>
    <w:rsid w:val="00F95193"/>
    <w:rsid w:val="00F95737"/>
    <w:rsid w:val="00F95952"/>
    <w:rsid w:val="00F95EA3"/>
    <w:rsid w:val="00F9609E"/>
    <w:rsid w:val="00F969FF"/>
    <w:rsid w:val="00F972C3"/>
    <w:rsid w:val="00F97448"/>
    <w:rsid w:val="00F975E8"/>
    <w:rsid w:val="00F97C52"/>
    <w:rsid w:val="00FA0467"/>
    <w:rsid w:val="00FA0AF2"/>
    <w:rsid w:val="00FA0F7F"/>
    <w:rsid w:val="00FA1372"/>
    <w:rsid w:val="00FA1437"/>
    <w:rsid w:val="00FA15EE"/>
    <w:rsid w:val="00FA1BBB"/>
    <w:rsid w:val="00FA1BE3"/>
    <w:rsid w:val="00FA381A"/>
    <w:rsid w:val="00FA3CFE"/>
    <w:rsid w:val="00FA4217"/>
    <w:rsid w:val="00FA474A"/>
    <w:rsid w:val="00FA4F99"/>
    <w:rsid w:val="00FA5093"/>
    <w:rsid w:val="00FA551F"/>
    <w:rsid w:val="00FA56A9"/>
    <w:rsid w:val="00FA5B5A"/>
    <w:rsid w:val="00FA6391"/>
    <w:rsid w:val="00FA6479"/>
    <w:rsid w:val="00FA6D9D"/>
    <w:rsid w:val="00FA745A"/>
    <w:rsid w:val="00FA7915"/>
    <w:rsid w:val="00FA7E44"/>
    <w:rsid w:val="00FA7F4B"/>
    <w:rsid w:val="00FB0588"/>
    <w:rsid w:val="00FB0A8E"/>
    <w:rsid w:val="00FB0A91"/>
    <w:rsid w:val="00FB0C3F"/>
    <w:rsid w:val="00FB1123"/>
    <w:rsid w:val="00FB1675"/>
    <w:rsid w:val="00FB1D54"/>
    <w:rsid w:val="00FB2388"/>
    <w:rsid w:val="00FB2AA5"/>
    <w:rsid w:val="00FB2C2D"/>
    <w:rsid w:val="00FB365A"/>
    <w:rsid w:val="00FB3820"/>
    <w:rsid w:val="00FB3BA4"/>
    <w:rsid w:val="00FB3BD2"/>
    <w:rsid w:val="00FB3E3E"/>
    <w:rsid w:val="00FB3E44"/>
    <w:rsid w:val="00FB42C0"/>
    <w:rsid w:val="00FB42E9"/>
    <w:rsid w:val="00FB4B0C"/>
    <w:rsid w:val="00FB4CCE"/>
    <w:rsid w:val="00FB5534"/>
    <w:rsid w:val="00FB5EF5"/>
    <w:rsid w:val="00FB5F50"/>
    <w:rsid w:val="00FB6978"/>
    <w:rsid w:val="00FB6ED3"/>
    <w:rsid w:val="00FB708A"/>
    <w:rsid w:val="00FB7295"/>
    <w:rsid w:val="00FB7868"/>
    <w:rsid w:val="00FC008C"/>
    <w:rsid w:val="00FC00E6"/>
    <w:rsid w:val="00FC023B"/>
    <w:rsid w:val="00FC02D8"/>
    <w:rsid w:val="00FC062B"/>
    <w:rsid w:val="00FC1250"/>
    <w:rsid w:val="00FC1309"/>
    <w:rsid w:val="00FC1692"/>
    <w:rsid w:val="00FC1DE9"/>
    <w:rsid w:val="00FC2130"/>
    <w:rsid w:val="00FC38A0"/>
    <w:rsid w:val="00FC3D8C"/>
    <w:rsid w:val="00FC4805"/>
    <w:rsid w:val="00FC4D3F"/>
    <w:rsid w:val="00FC5785"/>
    <w:rsid w:val="00FC6670"/>
    <w:rsid w:val="00FC66F9"/>
    <w:rsid w:val="00FC71D7"/>
    <w:rsid w:val="00FC7A9B"/>
    <w:rsid w:val="00FD00DB"/>
    <w:rsid w:val="00FD048E"/>
    <w:rsid w:val="00FD0A70"/>
    <w:rsid w:val="00FD0BE0"/>
    <w:rsid w:val="00FD0D9E"/>
    <w:rsid w:val="00FD1D67"/>
    <w:rsid w:val="00FD3050"/>
    <w:rsid w:val="00FD3654"/>
    <w:rsid w:val="00FD3AD5"/>
    <w:rsid w:val="00FD3ECD"/>
    <w:rsid w:val="00FD4644"/>
    <w:rsid w:val="00FD4708"/>
    <w:rsid w:val="00FD4745"/>
    <w:rsid w:val="00FD5B0B"/>
    <w:rsid w:val="00FD6065"/>
    <w:rsid w:val="00FD69F1"/>
    <w:rsid w:val="00FD6A74"/>
    <w:rsid w:val="00FD6C88"/>
    <w:rsid w:val="00FD72F2"/>
    <w:rsid w:val="00FD73FD"/>
    <w:rsid w:val="00FD7570"/>
    <w:rsid w:val="00FD7BB8"/>
    <w:rsid w:val="00FD7CED"/>
    <w:rsid w:val="00FE030D"/>
    <w:rsid w:val="00FE1498"/>
    <w:rsid w:val="00FE15B8"/>
    <w:rsid w:val="00FE202E"/>
    <w:rsid w:val="00FE2816"/>
    <w:rsid w:val="00FE2FD7"/>
    <w:rsid w:val="00FE30E0"/>
    <w:rsid w:val="00FE315D"/>
    <w:rsid w:val="00FE31CD"/>
    <w:rsid w:val="00FE34CE"/>
    <w:rsid w:val="00FE3B56"/>
    <w:rsid w:val="00FE42CB"/>
    <w:rsid w:val="00FE459B"/>
    <w:rsid w:val="00FE4922"/>
    <w:rsid w:val="00FE4F01"/>
    <w:rsid w:val="00FE5597"/>
    <w:rsid w:val="00FE55B4"/>
    <w:rsid w:val="00FE56E1"/>
    <w:rsid w:val="00FE611E"/>
    <w:rsid w:val="00FE61F3"/>
    <w:rsid w:val="00FE6965"/>
    <w:rsid w:val="00FE6D5B"/>
    <w:rsid w:val="00FE707E"/>
    <w:rsid w:val="00FE7733"/>
    <w:rsid w:val="00FE784D"/>
    <w:rsid w:val="00FF0564"/>
    <w:rsid w:val="00FF0DD8"/>
    <w:rsid w:val="00FF162A"/>
    <w:rsid w:val="00FF1C16"/>
    <w:rsid w:val="00FF1C20"/>
    <w:rsid w:val="00FF1D3D"/>
    <w:rsid w:val="00FF20EA"/>
    <w:rsid w:val="00FF221D"/>
    <w:rsid w:val="00FF2293"/>
    <w:rsid w:val="00FF2731"/>
    <w:rsid w:val="00FF2DFA"/>
    <w:rsid w:val="00FF3359"/>
    <w:rsid w:val="00FF3F75"/>
    <w:rsid w:val="00FF4215"/>
    <w:rsid w:val="00FF45C5"/>
    <w:rsid w:val="00FF4748"/>
    <w:rsid w:val="00FF4D64"/>
    <w:rsid w:val="00FF5188"/>
    <w:rsid w:val="00FF5F67"/>
    <w:rsid w:val="00FF67E5"/>
    <w:rsid w:val="00FF6B55"/>
    <w:rsid w:val="01514167"/>
    <w:rsid w:val="031B1150"/>
    <w:rsid w:val="033502EE"/>
    <w:rsid w:val="0356048A"/>
    <w:rsid w:val="03E91167"/>
    <w:rsid w:val="049C7DEF"/>
    <w:rsid w:val="066C1A43"/>
    <w:rsid w:val="0A17084B"/>
    <w:rsid w:val="0AA5290E"/>
    <w:rsid w:val="0BCF05D2"/>
    <w:rsid w:val="0CC22DB2"/>
    <w:rsid w:val="0E02446E"/>
    <w:rsid w:val="0F11369E"/>
    <w:rsid w:val="0FD5119C"/>
    <w:rsid w:val="12802AFE"/>
    <w:rsid w:val="13D92348"/>
    <w:rsid w:val="14693D79"/>
    <w:rsid w:val="14E76E65"/>
    <w:rsid w:val="161A5018"/>
    <w:rsid w:val="180D49CF"/>
    <w:rsid w:val="1A044F69"/>
    <w:rsid w:val="1B0540AA"/>
    <w:rsid w:val="1D23227F"/>
    <w:rsid w:val="1E4A50DD"/>
    <w:rsid w:val="1ECF7811"/>
    <w:rsid w:val="1F7D36C1"/>
    <w:rsid w:val="2457362E"/>
    <w:rsid w:val="24720917"/>
    <w:rsid w:val="286C41B3"/>
    <w:rsid w:val="29F23E8A"/>
    <w:rsid w:val="2F2E6497"/>
    <w:rsid w:val="31BA3FEF"/>
    <w:rsid w:val="32333124"/>
    <w:rsid w:val="335E42BB"/>
    <w:rsid w:val="33F91109"/>
    <w:rsid w:val="35A818A1"/>
    <w:rsid w:val="36C7488E"/>
    <w:rsid w:val="37724CE5"/>
    <w:rsid w:val="382D7C27"/>
    <w:rsid w:val="387821DF"/>
    <w:rsid w:val="390F1C37"/>
    <w:rsid w:val="3A3A0753"/>
    <w:rsid w:val="3D30364E"/>
    <w:rsid w:val="3D9267FC"/>
    <w:rsid w:val="3F233EAD"/>
    <w:rsid w:val="3F6C2785"/>
    <w:rsid w:val="3F80388E"/>
    <w:rsid w:val="42FB660D"/>
    <w:rsid w:val="440062B8"/>
    <w:rsid w:val="46F75706"/>
    <w:rsid w:val="47D604EF"/>
    <w:rsid w:val="48FC21D7"/>
    <w:rsid w:val="4B9504F3"/>
    <w:rsid w:val="4CD76BF4"/>
    <w:rsid w:val="4DC31516"/>
    <w:rsid w:val="516528E4"/>
    <w:rsid w:val="53D37C94"/>
    <w:rsid w:val="549154C1"/>
    <w:rsid w:val="56431446"/>
    <w:rsid w:val="587246A0"/>
    <w:rsid w:val="59EA2774"/>
    <w:rsid w:val="5E350FC6"/>
    <w:rsid w:val="5EB53A7D"/>
    <w:rsid w:val="5F4D7B28"/>
    <w:rsid w:val="6046596E"/>
    <w:rsid w:val="615C785F"/>
    <w:rsid w:val="62403576"/>
    <w:rsid w:val="646178F1"/>
    <w:rsid w:val="66CD4776"/>
    <w:rsid w:val="672A7AB8"/>
    <w:rsid w:val="690156CC"/>
    <w:rsid w:val="6A184540"/>
    <w:rsid w:val="6A8C218E"/>
    <w:rsid w:val="6F155F03"/>
    <w:rsid w:val="6F5222A2"/>
    <w:rsid w:val="6FFD4727"/>
    <w:rsid w:val="71F32538"/>
    <w:rsid w:val="733B3AF2"/>
    <w:rsid w:val="75772B22"/>
    <w:rsid w:val="75894A6D"/>
    <w:rsid w:val="75A86A95"/>
    <w:rsid w:val="790950B1"/>
    <w:rsid w:val="791E1501"/>
    <w:rsid w:val="797C64B0"/>
    <w:rsid w:val="7A311683"/>
    <w:rsid w:val="7A9F519A"/>
    <w:rsid w:val="7BC7793E"/>
    <w:rsid w:val="7C821F38"/>
    <w:rsid w:val="7F7170E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9" w:semiHidden="0" w:name="heading 3"/>
    <w:lsdException w:qFormat="1" w:unhideWhenUsed="0" w:uiPriority="9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name="footnote text"/>
    <w:lsdException w:qFormat="1" w:unhideWhenUsed="0" w:uiPriority="0" w:semiHidden="0" w:name="annotation text"/>
    <w:lsdException w:qFormat="1" w:uiPriority="0" w:semiHidden="0" w:name="header"/>
    <w:lsdException w:qFormat="1" w:uiPriority="99" w:semiHidden="0" w:name="footer"/>
    <w:lsdException w:qFormat="1" w:unhideWhenUsed="0" w:uiPriority="0" w:semiHidden="0" w:name="index heading"/>
    <w:lsdException w:qFormat="1" w:unhideWhenUsed="0" w:uiPriority="0" w:semiHidden="0" w:name="caption"/>
    <w:lsdException w:qFormat="1" w:unhideWhenUsed="0" w:uiPriority="0" w:name="table of figures"/>
    <w:lsdException w:qFormat="1" w:unhideWhenUsed="0" w:uiPriority="0" w:semiHidden="0" w:name="envelope address"/>
    <w:lsdException w:qFormat="1" w:unhideWhenUsed="0" w:uiPriority="0" w:semiHidden="0" w:name="envelope return"/>
    <w:lsdException w:qFormat="1" w:unhideWhenUsed="0" w:uiPriority="0" w:name="footnote reference"/>
    <w:lsdException w:qFormat="1" w:unhideWhenUsed="0" w:uiPriority="0" w:semiHidden="0" w:name="annotation reference"/>
    <w:lsdException w:uiPriority="99"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qFormat="1" w:unhideWhenUsed="0" w:uiPriority="0" w:name="macro"/>
    <w:lsdException w:uiPriority="99"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qFormat="1"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11"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iPriority="0" w:semiHidden="0" w:name="Plain Text"/>
    <w:lsdException w:qFormat="1" w:unhideWhenUsed="0" w:uiPriority="0" w:semiHidden="0" w:name="E-mail Signature"/>
    <w:lsdException w:qFormat="1" w:unhideWhenUsed="0" w:uiPriority="0" w:semiHidden="0" w:name="Normal (Web)"/>
    <w:lsdException w:uiPriority="99" w:name="HTML Acronym"/>
    <w:lsdException w:qFormat="1" w:unhideWhenUsed="0" w:uiPriority="0" w:semiHidden="0"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adjustRightInd w:val="0"/>
      <w:snapToGrid w:val="0"/>
      <w:spacing w:line="360" w:lineRule="auto"/>
      <w:ind w:firstLine="200" w:firstLineChars="200"/>
      <w:jc w:val="both"/>
    </w:pPr>
    <w:rPr>
      <w:rFonts w:ascii="Times New Roman" w:hAnsi="Times New Roman" w:eastAsia="宋体" w:cs="Times New Roman"/>
      <w:kern w:val="2"/>
      <w:sz w:val="24"/>
      <w:lang w:val="en-US" w:eastAsia="zh-CN" w:bidi="ar-SA"/>
    </w:rPr>
  </w:style>
  <w:style w:type="paragraph" w:styleId="4">
    <w:name w:val="heading 1"/>
    <w:basedOn w:val="1"/>
    <w:next w:val="1"/>
    <w:link w:val="99"/>
    <w:autoRedefine/>
    <w:qFormat/>
    <w:uiPriority w:val="0"/>
    <w:pPr>
      <w:keepNext/>
      <w:keepLines/>
      <w:pageBreakBefore/>
      <w:ind w:firstLine="0" w:firstLineChars="0"/>
      <w:jc w:val="center"/>
      <w:outlineLvl w:val="0"/>
    </w:pPr>
    <w:rPr>
      <w:rFonts w:ascii="Calibri" w:hAnsi="Calibri"/>
      <w:b/>
      <w:bCs/>
      <w:kern w:val="44"/>
      <w:sz w:val="32"/>
      <w:szCs w:val="44"/>
    </w:rPr>
  </w:style>
  <w:style w:type="paragraph" w:styleId="5">
    <w:name w:val="heading 2"/>
    <w:basedOn w:val="1"/>
    <w:next w:val="1"/>
    <w:link w:val="100"/>
    <w:autoRedefine/>
    <w:qFormat/>
    <w:uiPriority w:val="0"/>
    <w:pPr>
      <w:keepNext/>
      <w:keepLines/>
      <w:spacing w:before="120"/>
      <w:ind w:firstLine="0" w:firstLineChars="0"/>
      <w:jc w:val="center"/>
      <w:outlineLvl w:val="1"/>
    </w:pPr>
    <w:rPr>
      <w:rFonts w:ascii="Cambria" w:hAnsi="Cambria"/>
      <w:b/>
      <w:bCs/>
      <w:color w:val="000000"/>
      <w:sz w:val="30"/>
      <w:szCs w:val="32"/>
    </w:rPr>
  </w:style>
  <w:style w:type="paragraph" w:styleId="6">
    <w:name w:val="heading 3"/>
    <w:basedOn w:val="1"/>
    <w:next w:val="1"/>
    <w:link w:val="101"/>
    <w:autoRedefine/>
    <w:qFormat/>
    <w:uiPriority w:val="99"/>
    <w:pPr>
      <w:keepNext/>
      <w:keepLines/>
      <w:outlineLvl w:val="2"/>
    </w:pPr>
    <w:rPr>
      <w:b/>
      <w:bCs/>
      <w:sz w:val="28"/>
      <w:szCs w:val="32"/>
    </w:rPr>
  </w:style>
  <w:style w:type="paragraph" w:styleId="7">
    <w:name w:val="heading 4"/>
    <w:basedOn w:val="1"/>
    <w:next w:val="1"/>
    <w:link w:val="102"/>
    <w:autoRedefine/>
    <w:qFormat/>
    <w:uiPriority w:val="99"/>
    <w:pPr>
      <w:keepNext/>
      <w:keepLines/>
      <w:spacing w:after="120" w:line="240" w:lineRule="auto"/>
      <w:ind w:firstLine="562"/>
      <w:outlineLvl w:val="3"/>
    </w:pPr>
    <w:rPr>
      <w:rFonts w:ascii="Cambria" w:hAnsi="Cambria"/>
      <w:b/>
      <w:bCs/>
      <w:kern w:val="0"/>
      <w:szCs w:val="28"/>
    </w:rPr>
  </w:style>
  <w:style w:type="paragraph" w:styleId="8">
    <w:name w:val="heading 5"/>
    <w:basedOn w:val="1"/>
    <w:next w:val="1"/>
    <w:link w:val="103"/>
    <w:autoRedefine/>
    <w:qFormat/>
    <w:uiPriority w:val="9"/>
    <w:pPr>
      <w:keepNext/>
      <w:adjustRightInd/>
      <w:snapToGrid/>
      <w:spacing w:line="540" w:lineRule="exact"/>
      <w:ind w:firstLine="0" w:firstLineChars="0"/>
      <w:jc w:val="center"/>
      <w:outlineLvl w:val="4"/>
    </w:pPr>
    <w:rPr>
      <w:rFonts w:ascii="宋体" w:hAnsi="宋体"/>
      <w:kern w:val="0"/>
      <w:sz w:val="28"/>
      <w:szCs w:val="24"/>
    </w:rPr>
  </w:style>
  <w:style w:type="paragraph" w:styleId="9">
    <w:name w:val="heading 6"/>
    <w:basedOn w:val="1"/>
    <w:next w:val="1"/>
    <w:link w:val="104"/>
    <w:autoRedefine/>
    <w:qFormat/>
    <w:uiPriority w:val="9"/>
    <w:pPr>
      <w:keepNext/>
      <w:keepLines/>
      <w:widowControl/>
      <w:adjustRightInd/>
      <w:snapToGrid/>
      <w:spacing w:before="200" w:line="276" w:lineRule="auto"/>
      <w:ind w:firstLine="0" w:firstLineChars="0"/>
      <w:jc w:val="left"/>
      <w:outlineLvl w:val="5"/>
    </w:pPr>
    <w:rPr>
      <w:rFonts w:ascii="Cambria" w:hAnsi="Cambria"/>
      <w:i/>
      <w:iCs/>
      <w:color w:val="16505E"/>
      <w:kern w:val="0"/>
      <w:sz w:val="20"/>
    </w:rPr>
  </w:style>
  <w:style w:type="paragraph" w:styleId="10">
    <w:name w:val="heading 7"/>
    <w:basedOn w:val="1"/>
    <w:next w:val="1"/>
    <w:link w:val="105"/>
    <w:autoRedefine/>
    <w:qFormat/>
    <w:uiPriority w:val="9"/>
    <w:pPr>
      <w:keepNext/>
      <w:keepLines/>
      <w:widowControl/>
      <w:adjustRightInd/>
      <w:snapToGrid/>
      <w:spacing w:before="200" w:line="276" w:lineRule="auto"/>
      <w:ind w:firstLine="0" w:firstLineChars="0"/>
      <w:jc w:val="left"/>
      <w:outlineLvl w:val="6"/>
    </w:pPr>
    <w:rPr>
      <w:rFonts w:ascii="Cambria" w:hAnsi="Cambria"/>
      <w:i/>
      <w:iCs/>
      <w:color w:val="404040"/>
      <w:kern w:val="0"/>
      <w:sz w:val="20"/>
    </w:rPr>
  </w:style>
  <w:style w:type="paragraph" w:styleId="11">
    <w:name w:val="heading 8"/>
    <w:basedOn w:val="1"/>
    <w:next w:val="1"/>
    <w:link w:val="106"/>
    <w:autoRedefine/>
    <w:qFormat/>
    <w:uiPriority w:val="9"/>
    <w:pPr>
      <w:keepNext/>
      <w:keepLines/>
      <w:widowControl/>
      <w:adjustRightInd/>
      <w:snapToGrid/>
      <w:spacing w:before="200" w:line="276" w:lineRule="auto"/>
      <w:ind w:firstLine="0" w:firstLineChars="0"/>
      <w:jc w:val="left"/>
      <w:outlineLvl w:val="7"/>
    </w:pPr>
    <w:rPr>
      <w:rFonts w:ascii="Cambria" w:hAnsi="Cambria"/>
      <w:color w:val="2DA2BF"/>
      <w:kern w:val="0"/>
      <w:sz w:val="20"/>
    </w:rPr>
  </w:style>
  <w:style w:type="paragraph" w:styleId="12">
    <w:name w:val="heading 9"/>
    <w:basedOn w:val="1"/>
    <w:next w:val="1"/>
    <w:link w:val="107"/>
    <w:autoRedefine/>
    <w:qFormat/>
    <w:uiPriority w:val="9"/>
    <w:pPr>
      <w:keepNext/>
      <w:keepLines/>
      <w:widowControl/>
      <w:adjustRightInd/>
      <w:snapToGrid/>
      <w:spacing w:before="200" w:line="276" w:lineRule="auto"/>
      <w:ind w:firstLine="0" w:firstLineChars="0"/>
      <w:jc w:val="left"/>
      <w:outlineLvl w:val="8"/>
    </w:pPr>
    <w:rPr>
      <w:rFonts w:ascii="Cambria" w:hAnsi="Cambria"/>
      <w:i/>
      <w:iCs/>
      <w:color w:val="404040"/>
      <w:kern w:val="0"/>
      <w:sz w:val="20"/>
    </w:rPr>
  </w:style>
  <w:style w:type="character" w:default="1" w:styleId="89">
    <w:name w:val="Default Paragraph Font"/>
    <w:autoRedefine/>
    <w:semiHidden/>
    <w:unhideWhenUsed/>
    <w:qFormat/>
    <w:uiPriority w:val="1"/>
  </w:style>
  <w:style w:type="table" w:default="1" w:styleId="87">
    <w:name w:val="Normal Table"/>
    <w:autoRedefine/>
    <w:semiHidden/>
    <w:unhideWhenUsed/>
    <w:qFormat/>
    <w:uiPriority w:val="99"/>
    <w:tblPr>
      <w:tblCellMar>
        <w:top w:w="0" w:type="dxa"/>
        <w:left w:w="108" w:type="dxa"/>
        <w:bottom w:w="0" w:type="dxa"/>
        <w:right w:w="108" w:type="dxa"/>
      </w:tblCellMar>
    </w:tblPr>
  </w:style>
  <w:style w:type="paragraph" w:customStyle="1" w:styleId="2">
    <w:name w:val="Default"/>
    <w:autoRedefine/>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paragraph" w:styleId="3">
    <w:name w:val="macro"/>
    <w:autoRedefine/>
    <w:semiHidden/>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13">
    <w:name w:val="List 3"/>
    <w:basedOn w:val="1"/>
    <w:autoRedefine/>
    <w:qFormat/>
    <w:uiPriority w:val="0"/>
    <w:pPr>
      <w:adjustRightInd/>
      <w:snapToGrid/>
      <w:spacing w:line="240" w:lineRule="auto"/>
      <w:ind w:left="100" w:leftChars="400" w:hanging="200" w:hangingChars="200"/>
    </w:pPr>
    <w:rPr>
      <w:sz w:val="21"/>
      <w:szCs w:val="24"/>
    </w:rPr>
  </w:style>
  <w:style w:type="paragraph" w:styleId="14">
    <w:name w:val="toc 7"/>
    <w:basedOn w:val="1"/>
    <w:next w:val="1"/>
    <w:autoRedefine/>
    <w:qFormat/>
    <w:uiPriority w:val="39"/>
    <w:pPr>
      <w:adjustRightInd/>
      <w:snapToGrid/>
      <w:spacing w:line="240" w:lineRule="auto"/>
      <w:ind w:left="1800" w:firstLine="0" w:firstLineChars="0"/>
      <w:jc w:val="left"/>
    </w:pPr>
    <w:rPr>
      <w:sz w:val="18"/>
      <w:szCs w:val="18"/>
    </w:rPr>
  </w:style>
  <w:style w:type="paragraph" w:styleId="15">
    <w:name w:val="List Number 2"/>
    <w:basedOn w:val="1"/>
    <w:autoRedefine/>
    <w:qFormat/>
    <w:uiPriority w:val="0"/>
    <w:pPr>
      <w:tabs>
        <w:tab w:val="left" w:pos="780"/>
      </w:tabs>
      <w:adjustRightInd/>
      <w:snapToGrid/>
      <w:spacing w:line="240" w:lineRule="auto"/>
      <w:ind w:left="780" w:leftChars="200" w:hanging="360" w:hangingChars="200"/>
    </w:pPr>
    <w:rPr>
      <w:rFonts w:ascii="宋体" w:hAnsi="宋体"/>
      <w:sz w:val="28"/>
      <w:szCs w:val="28"/>
    </w:rPr>
  </w:style>
  <w:style w:type="paragraph" w:styleId="16">
    <w:name w:val="Note Heading"/>
    <w:basedOn w:val="1"/>
    <w:next w:val="1"/>
    <w:autoRedefine/>
    <w:qFormat/>
    <w:uiPriority w:val="0"/>
    <w:pPr>
      <w:adjustRightInd/>
      <w:snapToGrid/>
      <w:spacing w:line="240" w:lineRule="auto"/>
      <w:ind w:firstLine="0" w:firstLineChars="0"/>
      <w:jc w:val="center"/>
    </w:pPr>
    <w:rPr>
      <w:rFonts w:ascii="宋体" w:hAnsi="Courier New" w:cs="Courier New"/>
      <w:sz w:val="21"/>
      <w:szCs w:val="21"/>
    </w:rPr>
  </w:style>
  <w:style w:type="paragraph" w:styleId="17">
    <w:name w:val="List Bullet 4"/>
    <w:basedOn w:val="1"/>
    <w:autoRedefine/>
    <w:qFormat/>
    <w:uiPriority w:val="0"/>
    <w:pPr>
      <w:tabs>
        <w:tab w:val="left" w:pos="2180"/>
      </w:tabs>
      <w:adjustRightInd/>
      <w:snapToGrid/>
      <w:spacing w:line="240" w:lineRule="auto"/>
      <w:ind w:left="2180" w:leftChars="600" w:hanging="360" w:hangingChars="200"/>
    </w:pPr>
    <w:rPr>
      <w:rFonts w:ascii="宋体" w:hAnsi="宋体"/>
      <w:sz w:val="28"/>
      <w:szCs w:val="28"/>
    </w:rPr>
  </w:style>
  <w:style w:type="paragraph" w:styleId="18">
    <w:name w:val="index 8"/>
    <w:basedOn w:val="1"/>
    <w:next w:val="1"/>
    <w:autoRedefine/>
    <w:qFormat/>
    <w:uiPriority w:val="0"/>
    <w:pPr>
      <w:widowControl/>
      <w:adjustRightInd/>
      <w:snapToGrid/>
      <w:spacing w:after="200"/>
      <w:ind w:left="1680" w:hanging="210"/>
      <w:jc w:val="left"/>
    </w:pPr>
    <w:rPr>
      <w:rFonts w:ascii="Calibri" w:hAnsi="Calibri"/>
      <w:kern w:val="0"/>
      <w:sz w:val="20"/>
      <w:szCs w:val="22"/>
    </w:rPr>
  </w:style>
  <w:style w:type="paragraph" w:styleId="19">
    <w:name w:val="E-mail Signature"/>
    <w:basedOn w:val="1"/>
    <w:autoRedefine/>
    <w:qFormat/>
    <w:uiPriority w:val="0"/>
    <w:pPr>
      <w:adjustRightInd/>
      <w:snapToGrid/>
      <w:spacing w:line="240" w:lineRule="auto"/>
      <w:ind w:firstLine="0" w:firstLineChars="0"/>
    </w:pPr>
    <w:rPr>
      <w:rFonts w:ascii="宋体" w:hAnsi="宋体"/>
      <w:sz w:val="28"/>
      <w:szCs w:val="28"/>
    </w:rPr>
  </w:style>
  <w:style w:type="paragraph" w:styleId="20">
    <w:name w:val="List Number"/>
    <w:basedOn w:val="1"/>
    <w:autoRedefine/>
    <w:qFormat/>
    <w:uiPriority w:val="0"/>
    <w:pPr>
      <w:tabs>
        <w:tab w:val="left" w:pos="360"/>
      </w:tabs>
      <w:adjustRightInd/>
      <w:snapToGrid/>
      <w:spacing w:line="240" w:lineRule="auto"/>
      <w:ind w:left="360" w:hanging="360" w:hangingChars="200"/>
    </w:pPr>
    <w:rPr>
      <w:rFonts w:ascii="宋体" w:hAnsi="宋体"/>
      <w:sz w:val="28"/>
      <w:szCs w:val="28"/>
    </w:rPr>
  </w:style>
  <w:style w:type="paragraph" w:styleId="21">
    <w:name w:val="Normal Indent"/>
    <w:basedOn w:val="1"/>
    <w:link w:val="132"/>
    <w:autoRedefine/>
    <w:qFormat/>
    <w:uiPriority w:val="0"/>
    <w:pPr>
      <w:adjustRightInd/>
      <w:snapToGrid/>
      <w:spacing w:line="240" w:lineRule="auto"/>
      <w:ind w:firstLine="420"/>
    </w:pPr>
    <w:rPr>
      <w:sz w:val="21"/>
      <w:szCs w:val="24"/>
    </w:rPr>
  </w:style>
  <w:style w:type="paragraph" w:styleId="22">
    <w:name w:val="caption"/>
    <w:basedOn w:val="1"/>
    <w:next w:val="1"/>
    <w:autoRedefine/>
    <w:qFormat/>
    <w:uiPriority w:val="0"/>
    <w:pPr>
      <w:widowControl/>
      <w:adjustRightInd/>
      <w:snapToGrid/>
      <w:spacing w:after="200" w:line="240" w:lineRule="auto"/>
      <w:ind w:firstLine="0" w:firstLineChars="0"/>
      <w:jc w:val="left"/>
    </w:pPr>
    <w:rPr>
      <w:rFonts w:ascii="Calibri" w:hAnsi="Calibri"/>
      <w:b/>
      <w:bCs/>
      <w:color w:val="2DA2BF"/>
      <w:kern w:val="0"/>
      <w:sz w:val="18"/>
      <w:szCs w:val="18"/>
    </w:rPr>
  </w:style>
  <w:style w:type="paragraph" w:styleId="23">
    <w:name w:val="index 5"/>
    <w:basedOn w:val="1"/>
    <w:next w:val="1"/>
    <w:autoRedefine/>
    <w:qFormat/>
    <w:uiPriority w:val="0"/>
    <w:pPr>
      <w:widowControl/>
      <w:adjustRightInd/>
      <w:snapToGrid/>
      <w:spacing w:after="200"/>
      <w:ind w:left="1050" w:hanging="210"/>
      <w:jc w:val="left"/>
    </w:pPr>
    <w:rPr>
      <w:rFonts w:ascii="Calibri" w:hAnsi="Calibri"/>
      <w:kern w:val="0"/>
      <w:sz w:val="20"/>
      <w:szCs w:val="22"/>
    </w:rPr>
  </w:style>
  <w:style w:type="paragraph" w:styleId="24">
    <w:name w:val="List Bullet"/>
    <w:basedOn w:val="1"/>
    <w:autoRedefine/>
    <w:qFormat/>
    <w:uiPriority w:val="0"/>
    <w:pPr>
      <w:tabs>
        <w:tab w:val="left" w:pos="360"/>
      </w:tabs>
      <w:adjustRightInd/>
      <w:snapToGrid/>
      <w:spacing w:line="240" w:lineRule="auto"/>
      <w:ind w:left="360" w:hanging="360" w:hangingChars="200"/>
    </w:pPr>
    <w:rPr>
      <w:sz w:val="21"/>
      <w:szCs w:val="24"/>
    </w:rPr>
  </w:style>
  <w:style w:type="paragraph" w:styleId="25">
    <w:name w:val="envelope address"/>
    <w:basedOn w:val="1"/>
    <w:autoRedefine/>
    <w:qFormat/>
    <w:uiPriority w:val="0"/>
    <w:pPr>
      <w:framePr w:w="7920" w:h="1980" w:hRule="exact" w:hSpace="180" w:wrap="around" w:vAnchor="margin" w:hAnchor="page" w:xAlign="center" w:yAlign="bottom"/>
      <w:adjustRightInd/>
      <w:spacing w:line="240" w:lineRule="auto"/>
      <w:ind w:left="100" w:leftChars="1400" w:firstLine="0" w:firstLineChars="0"/>
    </w:pPr>
    <w:rPr>
      <w:rFonts w:ascii="Arial" w:hAnsi="Arial" w:cs="Arial"/>
      <w:szCs w:val="24"/>
    </w:rPr>
  </w:style>
  <w:style w:type="paragraph" w:styleId="26">
    <w:name w:val="Document Map"/>
    <w:basedOn w:val="1"/>
    <w:link w:val="274"/>
    <w:autoRedefine/>
    <w:qFormat/>
    <w:uiPriority w:val="0"/>
    <w:pPr>
      <w:shd w:val="clear" w:color="auto" w:fill="000080"/>
      <w:adjustRightInd/>
      <w:snapToGrid/>
      <w:spacing w:line="240" w:lineRule="auto"/>
      <w:ind w:firstLine="0" w:firstLineChars="0"/>
    </w:pPr>
    <w:rPr>
      <w:kern w:val="0"/>
      <w:sz w:val="30"/>
    </w:rPr>
  </w:style>
  <w:style w:type="paragraph" w:styleId="27">
    <w:name w:val="annotation text"/>
    <w:basedOn w:val="1"/>
    <w:link w:val="172"/>
    <w:autoRedefine/>
    <w:qFormat/>
    <w:uiPriority w:val="0"/>
    <w:pPr>
      <w:adjustRightInd/>
      <w:snapToGrid/>
      <w:spacing w:line="240" w:lineRule="auto"/>
      <w:ind w:left="200" w:leftChars="200" w:firstLine="0" w:firstLineChars="0"/>
      <w:jc w:val="left"/>
    </w:pPr>
    <w:rPr>
      <w:kern w:val="0"/>
      <w:sz w:val="28"/>
      <w:szCs w:val="24"/>
    </w:rPr>
  </w:style>
  <w:style w:type="paragraph" w:styleId="28">
    <w:name w:val="index 6"/>
    <w:basedOn w:val="1"/>
    <w:next w:val="1"/>
    <w:autoRedefine/>
    <w:qFormat/>
    <w:uiPriority w:val="0"/>
    <w:pPr>
      <w:widowControl/>
      <w:adjustRightInd/>
      <w:snapToGrid/>
      <w:spacing w:after="200"/>
      <w:ind w:left="1260" w:hanging="210"/>
      <w:jc w:val="left"/>
    </w:pPr>
    <w:rPr>
      <w:rFonts w:ascii="Calibri" w:hAnsi="Calibri"/>
      <w:kern w:val="0"/>
      <w:sz w:val="20"/>
      <w:szCs w:val="22"/>
    </w:rPr>
  </w:style>
  <w:style w:type="paragraph" w:styleId="29">
    <w:name w:val="Salutation"/>
    <w:basedOn w:val="1"/>
    <w:next w:val="1"/>
    <w:autoRedefine/>
    <w:qFormat/>
    <w:uiPriority w:val="0"/>
    <w:pPr>
      <w:adjustRightInd/>
      <w:snapToGrid/>
      <w:spacing w:line="240" w:lineRule="auto"/>
      <w:ind w:firstLine="0" w:firstLineChars="0"/>
    </w:pPr>
    <w:rPr>
      <w:rFonts w:ascii="宋体" w:hAnsi="宋体"/>
      <w:sz w:val="28"/>
      <w:szCs w:val="28"/>
    </w:rPr>
  </w:style>
  <w:style w:type="paragraph" w:styleId="30">
    <w:name w:val="Body Text 3"/>
    <w:basedOn w:val="1"/>
    <w:link w:val="170"/>
    <w:autoRedefine/>
    <w:qFormat/>
    <w:uiPriority w:val="0"/>
    <w:pPr>
      <w:adjustRightInd/>
      <w:snapToGrid/>
      <w:spacing w:line="400" w:lineRule="exact"/>
      <w:ind w:firstLine="0" w:firstLineChars="0"/>
      <w:jc w:val="center"/>
    </w:pPr>
    <w:rPr>
      <w:kern w:val="0"/>
    </w:rPr>
  </w:style>
  <w:style w:type="paragraph" w:styleId="31">
    <w:name w:val="Closing"/>
    <w:basedOn w:val="1"/>
    <w:autoRedefine/>
    <w:qFormat/>
    <w:uiPriority w:val="0"/>
    <w:pPr>
      <w:adjustRightInd/>
      <w:snapToGrid/>
      <w:spacing w:line="240" w:lineRule="auto"/>
      <w:ind w:left="100" w:leftChars="2100" w:firstLine="0" w:firstLineChars="0"/>
    </w:pPr>
    <w:rPr>
      <w:rFonts w:ascii="宋体" w:hAnsi="宋体"/>
      <w:sz w:val="28"/>
      <w:szCs w:val="28"/>
    </w:rPr>
  </w:style>
  <w:style w:type="paragraph" w:styleId="32">
    <w:name w:val="List Bullet 3"/>
    <w:basedOn w:val="1"/>
    <w:autoRedefine/>
    <w:qFormat/>
    <w:uiPriority w:val="0"/>
    <w:pPr>
      <w:tabs>
        <w:tab w:val="left" w:pos="1200"/>
        <w:tab w:val="left" w:pos="1325"/>
      </w:tabs>
      <w:adjustRightInd/>
      <w:snapToGrid/>
      <w:spacing w:line="240" w:lineRule="auto"/>
      <w:ind w:left="1200" w:leftChars="400" w:hanging="360" w:firstLineChars="0"/>
    </w:pPr>
    <w:rPr>
      <w:rFonts w:ascii="宋体" w:hAnsi="宋体"/>
      <w:sz w:val="28"/>
      <w:szCs w:val="28"/>
    </w:rPr>
  </w:style>
  <w:style w:type="paragraph" w:styleId="33">
    <w:name w:val="Body Text"/>
    <w:basedOn w:val="1"/>
    <w:link w:val="227"/>
    <w:autoRedefine/>
    <w:qFormat/>
    <w:uiPriority w:val="0"/>
    <w:pPr>
      <w:adjustRightInd/>
      <w:snapToGrid/>
      <w:spacing w:before="50" w:after="50" w:line="540" w:lineRule="exact"/>
      <w:ind w:firstLine="0" w:firstLineChars="0"/>
    </w:pPr>
    <w:rPr>
      <w:rFonts w:ascii="Calibri" w:hAnsi="Calibri"/>
      <w:kern w:val="0"/>
      <w:sz w:val="28"/>
    </w:rPr>
  </w:style>
  <w:style w:type="paragraph" w:styleId="34">
    <w:name w:val="Body Text Indent"/>
    <w:basedOn w:val="1"/>
    <w:link w:val="150"/>
    <w:autoRedefine/>
    <w:qFormat/>
    <w:uiPriority w:val="0"/>
    <w:pPr>
      <w:adjustRightInd/>
      <w:snapToGrid/>
      <w:spacing w:line="540" w:lineRule="exact"/>
      <w:ind w:firstLine="570" w:firstLineChars="0"/>
    </w:pPr>
    <w:rPr>
      <w:kern w:val="0"/>
      <w:sz w:val="28"/>
    </w:rPr>
  </w:style>
  <w:style w:type="paragraph" w:styleId="35">
    <w:name w:val="List Number 3"/>
    <w:basedOn w:val="1"/>
    <w:autoRedefine/>
    <w:qFormat/>
    <w:uiPriority w:val="0"/>
    <w:pPr>
      <w:tabs>
        <w:tab w:val="left" w:pos="1200"/>
        <w:tab w:val="left" w:pos="1280"/>
      </w:tabs>
      <w:adjustRightInd/>
      <w:snapToGrid/>
      <w:spacing w:line="240" w:lineRule="auto"/>
      <w:ind w:left="1200" w:leftChars="400" w:hanging="720" w:firstLineChars="0"/>
    </w:pPr>
    <w:rPr>
      <w:rFonts w:ascii="宋体" w:hAnsi="宋体"/>
      <w:sz w:val="28"/>
      <w:szCs w:val="28"/>
    </w:rPr>
  </w:style>
  <w:style w:type="paragraph" w:styleId="36">
    <w:name w:val="List 2"/>
    <w:basedOn w:val="1"/>
    <w:autoRedefine/>
    <w:qFormat/>
    <w:uiPriority w:val="0"/>
    <w:pPr>
      <w:adjustRightInd/>
      <w:snapToGrid/>
      <w:spacing w:line="240" w:lineRule="auto"/>
      <w:ind w:left="100" w:leftChars="200" w:hanging="200" w:hangingChars="200"/>
    </w:pPr>
    <w:rPr>
      <w:sz w:val="21"/>
      <w:szCs w:val="24"/>
    </w:rPr>
  </w:style>
  <w:style w:type="paragraph" w:styleId="37">
    <w:name w:val="List Continue"/>
    <w:basedOn w:val="1"/>
    <w:autoRedefine/>
    <w:qFormat/>
    <w:uiPriority w:val="0"/>
    <w:pPr>
      <w:adjustRightInd/>
      <w:snapToGrid/>
      <w:spacing w:after="120" w:line="240" w:lineRule="auto"/>
      <w:ind w:left="420" w:leftChars="200" w:firstLine="0" w:firstLineChars="0"/>
    </w:pPr>
    <w:rPr>
      <w:sz w:val="21"/>
      <w:szCs w:val="24"/>
    </w:rPr>
  </w:style>
  <w:style w:type="paragraph" w:styleId="38">
    <w:name w:val="Block Text"/>
    <w:basedOn w:val="1"/>
    <w:autoRedefine/>
    <w:qFormat/>
    <w:uiPriority w:val="0"/>
    <w:pPr>
      <w:tabs>
        <w:tab w:val="left" w:pos="720"/>
      </w:tabs>
      <w:adjustRightInd/>
      <w:snapToGrid/>
      <w:spacing w:line="240" w:lineRule="exact"/>
      <w:ind w:left="85" w:leftChars="-51" w:right="-107" w:rightChars="-51" w:hanging="192" w:hangingChars="60"/>
      <w:jc w:val="center"/>
    </w:pPr>
    <w:rPr>
      <w:rFonts w:ascii="仿宋_GB2312" w:eastAsia="仿宋_GB2312"/>
      <w:sz w:val="32"/>
      <w:szCs w:val="24"/>
      <w:u w:val="single"/>
    </w:rPr>
  </w:style>
  <w:style w:type="paragraph" w:styleId="39">
    <w:name w:val="List Bullet 2"/>
    <w:basedOn w:val="1"/>
    <w:autoRedefine/>
    <w:qFormat/>
    <w:uiPriority w:val="0"/>
    <w:pPr>
      <w:tabs>
        <w:tab w:val="left" w:pos="780"/>
      </w:tabs>
      <w:adjustRightInd/>
      <w:snapToGrid/>
      <w:spacing w:line="240" w:lineRule="auto"/>
      <w:ind w:left="780" w:leftChars="200" w:hanging="360" w:hangingChars="200"/>
    </w:pPr>
    <w:rPr>
      <w:sz w:val="21"/>
      <w:szCs w:val="24"/>
    </w:rPr>
  </w:style>
  <w:style w:type="paragraph" w:styleId="40">
    <w:name w:val="HTML Address"/>
    <w:basedOn w:val="1"/>
    <w:link w:val="284"/>
    <w:autoRedefine/>
    <w:qFormat/>
    <w:uiPriority w:val="0"/>
    <w:pPr>
      <w:adjustRightInd/>
      <w:snapToGrid/>
      <w:spacing w:line="240" w:lineRule="auto"/>
      <w:ind w:firstLine="0" w:firstLineChars="0"/>
    </w:pPr>
    <w:rPr>
      <w:rFonts w:ascii="Calibri" w:hAnsi="Calibri"/>
      <w:sz w:val="21"/>
    </w:rPr>
  </w:style>
  <w:style w:type="paragraph" w:styleId="41">
    <w:name w:val="index 4"/>
    <w:basedOn w:val="1"/>
    <w:next w:val="1"/>
    <w:autoRedefine/>
    <w:qFormat/>
    <w:uiPriority w:val="0"/>
    <w:pPr>
      <w:widowControl/>
      <w:adjustRightInd/>
      <w:snapToGrid/>
      <w:spacing w:after="200"/>
      <w:ind w:left="840" w:hanging="210"/>
      <w:jc w:val="left"/>
    </w:pPr>
    <w:rPr>
      <w:rFonts w:ascii="Calibri" w:hAnsi="Calibri"/>
      <w:kern w:val="0"/>
      <w:sz w:val="20"/>
      <w:szCs w:val="22"/>
    </w:rPr>
  </w:style>
  <w:style w:type="paragraph" w:styleId="42">
    <w:name w:val="toc 5"/>
    <w:basedOn w:val="1"/>
    <w:next w:val="1"/>
    <w:autoRedefine/>
    <w:qFormat/>
    <w:uiPriority w:val="39"/>
    <w:pPr>
      <w:adjustRightInd/>
      <w:snapToGrid/>
      <w:spacing w:line="240" w:lineRule="auto"/>
      <w:ind w:left="1200" w:firstLine="0" w:firstLineChars="0"/>
      <w:jc w:val="left"/>
    </w:pPr>
    <w:rPr>
      <w:sz w:val="18"/>
      <w:szCs w:val="18"/>
    </w:rPr>
  </w:style>
  <w:style w:type="paragraph" w:styleId="43">
    <w:name w:val="toc 3"/>
    <w:basedOn w:val="1"/>
    <w:next w:val="1"/>
    <w:autoRedefine/>
    <w:qFormat/>
    <w:uiPriority w:val="39"/>
    <w:pPr>
      <w:adjustRightInd/>
      <w:snapToGrid/>
      <w:spacing w:line="240" w:lineRule="auto"/>
      <w:ind w:left="600" w:firstLine="0" w:firstLineChars="0"/>
      <w:jc w:val="left"/>
    </w:pPr>
    <w:rPr>
      <w:i/>
      <w:iCs/>
      <w:sz w:val="20"/>
    </w:rPr>
  </w:style>
  <w:style w:type="paragraph" w:styleId="44">
    <w:name w:val="Plain Text"/>
    <w:basedOn w:val="1"/>
    <w:link w:val="180"/>
    <w:autoRedefine/>
    <w:unhideWhenUsed/>
    <w:qFormat/>
    <w:uiPriority w:val="0"/>
    <w:rPr>
      <w:rFonts w:ascii="宋体" w:hAnsi="Courier New"/>
      <w:kern w:val="0"/>
      <w:sz w:val="20"/>
      <w:szCs w:val="21"/>
    </w:rPr>
  </w:style>
  <w:style w:type="paragraph" w:styleId="45">
    <w:name w:val="List Bullet 5"/>
    <w:basedOn w:val="1"/>
    <w:autoRedefine/>
    <w:qFormat/>
    <w:uiPriority w:val="0"/>
    <w:pPr>
      <w:tabs>
        <w:tab w:val="left" w:pos="2040"/>
      </w:tabs>
      <w:adjustRightInd/>
      <w:snapToGrid/>
      <w:spacing w:line="240" w:lineRule="auto"/>
      <w:ind w:left="2040" w:leftChars="800" w:hanging="360" w:hangingChars="200"/>
    </w:pPr>
    <w:rPr>
      <w:rFonts w:ascii="宋体" w:hAnsi="宋体"/>
      <w:sz w:val="28"/>
      <w:szCs w:val="28"/>
    </w:rPr>
  </w:style>
  <w:style w:type="paragraph" w:styleId="46">
    <w:name w:val="List Number 4"/>
    <w:basedOn w:val="1"/>
    <w:autoRedefine/>
    <w:qFormat/>
    <w:uiPriority w:val="0"/>
    <w:pPr>
      <w:tabs>
        <w:tab w:val="left" w:pos="1620"/>
      </w:tabs>
      <w:adjustRightInd/>
      <w:snapToGrid/>
      <w:spacing w:line="240" w:lineRule="auto"/>
      <w:ind w:left="1620" w:leftChars="600" w:hanging="360" w:hangingChars="200"/>
    </w:pPr>
    <w:rPr>
      <w:rFonts w:ascii="宋体" w:hAnsi="宋体"/>
      <w:sz w:val="28"/>
      <w:szCs w:val="28"/>
    </w:rPr>
  </w:style>
  <w:style w:type="paragraph" w:styleId="47">
    <w:name w:val="toc 8"/>
    <w:basedOn w:val="1"/>
    <w:next w:val="1"/>
    <w:autoRedefine/>
    <w:qFormat/>
    <w:uiPriority w:val="39"/>
    <w:pPr>
      <w:adjustRightInd/>
      <w:snapToGrid/>
      <w:spacing w:line="240" w:lineRule="auto"/>
      <w:ind w:left="2100" w:firstLine="0" w:firstLineChars="0"/>
      <w:jc w:val="left"/>
    </w:pPr>
    <w:rPr>
      <w:sz w:val="18"/>
      <w:szCs w:val="18"/>
    </w:rPr>
  </w:style>
  <w:style w:type="paragraph" w:styleId="48">
    <w:name w:val="index 3"/>
    <w:basedOn w:val="1"/>
    <w:next w:val="1"/>
    <w:autoRedefine/>
    <w:qFormat/>
    <w:uiPriority w:val="0"/>
    <w:pPr>
      <w:widowControl/>
      <w:adjustRightInd/>
      <w:snapToGrid/>
      <w:spacing w:after="200"/>
      <w:ind w:left="630" w:hanging="210"/>
      <w:jc w:val="left"/>
    </w:pPr>
    <w:rPr>
      <w:rFonts w:ascii="Calibri" w:hAnsi="Calibri"/>
      <w:kern w:val="0"/>
      <w:sz w:val="20"/>
      <w:szCs w:val="22"/>
    </w:rPr>
  </w:style>
  <w:style w:type="paragraph" w:styleId="49">
    <w:name w:val="Date"/>
    <w:basedOn w:val="1"/>
    <w:next w:val="1"/>
    <w:link w:val="246"/>
    <w:autoRedefine/>
    <w:qFormat/>
    <w:uiPriority w:val="0"/>
    <w:pPr>
      <w:adjustRightInd/>
      <w:snapToGrid/>
      <w:spacing w:line="240" w:lineRule="auto"/>
      <w:ind w:left="100" w:leftChars="2500" w:firstLine="0" w:firstLineChars="0"/>
    </w:pPr>
    <w:rPr>
      <w:kern w:val="0"/>
      <w:sz w:val="30"/>
    </w:rPr>
  </w:style>
  <w:style w:type="paragraph" w:styleId="50">
    <w:name w:val="Body Text Indent 2"/>
    <w:basedOn w:val="1"/>
    <w:link w:val="120"/>
    <w:autoRedefine/>
    <w:qFormat/>
    <w:uiPriority w:val="0"/>
    <w:pPr>
      <w:adjustRightInd/>
      <w:snapToGrid/>
      <w:spacing w:line="240" w:lineRule="auto"/>
      <w:ind w:firstLine="1120" w:firstLineChars="400"/>
    </w:pPr>
    <w:rPr>
      <w:rFonts w:ascii="宋体" w:hAnsi="宋体"/>
      <w:kern w:val="0"/>
      <w:sz w:val="28"/>
    </w:rPr>
  </w:style>
  <w:style w:type="paragraph" w:styleId="51">
    <w:name w:val="endnote text"/>
    <w:basedOn w:val="1"/>
    <w:autoRedefine/>
    <w:qFormat/>
    <w:uiPriority w:val="0"/>
    <w:pPr>
      <w:adjustRightInd/>
      <w:spacing w:line="240" w:lineRule="auto"/>
      <w:ind w:firstLine="0" w:firstLineChars="0"/>
      <w:jc w:val="left"/>
    </w:pPr>
    <w:rPr>
      <w:rFonts w:ascii="宋体" w:hAnsi="宋体"/>
      <w:sz w:val="28"/>
      <w:szCs w:val="28"/>
    </w:rPr>
  </w:style>
  <w:style w:type="paragraph" w:styleId="52">
    <w:name w:val="List Continue 5"/>
    <w:basedOn w:val="1"/>
    <w:autoRedefine/>
    <w:qFormat/>
    <w:uiPriority w:val="0"/>
    <w:pPr>
      <w:adjustRightInd/>
      <w:snapToGrid/>
      <w:spacing w:after="120" w:line="240" w:lineRule="auto"/>
      <w:ind w:left="2100" w:leftChars="1000" w:firstLine="0" w:firstLineChars="0"/>
    </w:pPr>
    <w:rPr>
      <w:rFonts w:ascii="宋体" w:hAnsi="宋体"/>
      <w:sz w:val="28"/>
      <w:szCs w:val="28"/>
    </w:rPr>
  </w:style>
  <w:style w:type="paragraph" w:styleId="53">
    <w:name w:val="Balloon Text"/>
    <w:basedOn w:val="1"/>
    <w:link w:val="278"/>
    <w:autoRedefine/>
    <w:unhideWhenUsed/>
    <w:qFormat/>
    <w:uiPriority w:val="0"/>
    <w:pPr>
      <w:spacing w:line="240" w:lineRule="auto"/>
    </w:pPr>
    <w:rPr>
      <w:kern w:val="0"/>
      <w:sz w:val="18"/>
      <w:szCs w:val="18"/>
    </w:rPr>
  </w:style>
  <w:style w:type="paragraph" w:styleId="54">
    <w:name w:val="footer"/>
    <w:basedOn w:val="1"/>
    <w:link w:val="136"/>
    <w:autoRedefine/>
    <w:unhideWhenUsed/>
    <w:qFormat/>
    <w:uiPriority w:val="99"/>
    <w:pPr>
      <w:tabs>
        <w:tab w:val="center" w:pos="4153"/>
        <w:tab w:val="right" w:pos="8306"/>
      </w:tabs>
      <w:jc w:val="left"/>
    </w:pPr>
    <w:rPr>
      <w:rFonts w:ascii="Calibri" w:hAnsi="Calibri"/>
      <w:kern w:val="0"/>
      <w:sz w:val="18"/>
      <w:szCs w:val="18"/>
    </w:rPr>
  </w:style>
  <w:style w:type="paragraph" w:styleId="55">
    <w:name w:val="envelope return"/>
    <w:basedOn w:val="1"/>
    <w:autoRedefine/>
    <w:qFormat/>
    <w:uiPriority w:val="0"/>
    <w:pPr>
      <w:adjustRightInd/>
      <w:spacing w:line="240" w:lineRule="auto"/>
      <w:ind w:firstLine="0" w:firstLineChars="0"/>
    </w:pPr>
    <w:rPr>
      <w:rFonts w:ascii="Arial" w:hAnsi="Arial" w:cs="Arial"/>
      <w:sz w:val="28"/>
      <w:szCs w:val="28"/>
    </w:rPr>
  </w:style>
  <w:style w:type="paragraph" w:styleId="56">
    <w:name w:val="header"/>
    <w:basedOn w:val="1"/>
    <w:link w:val="163"/>
    <w:autoRedefine/>
    <w:unhideWhenUsed/>
    <w:qFormat/>
    <w:uiPriority w:val="0"/>
    <w:pPr>
      <w:tabs>
        <w:tab w:val="center" w:pos="4153"/>
        <w:tab w:val="right" w:pos="8306"/>
      </w:tabs>
      <w:jc w:val="center"/>
    </w:pPr>
    <w:rPr>
      <w:rFonts w:ascii="Calibri" w:hAnsi="Calibri"/>
      <w:sz w:val="18"/>
      <w:szCs w:val="18"/>
    </w:rPr>
  </w:style>
  <w:style w:type="paragraph" w:styleId="57">
    <w:name w:val="Signature"/>
    <w:basedOn w:val="1"/>
    <w:link w:val="281"/>
    <w:autoRedefine/>
    <w:qFormat/>
    <w:uiPriority w:val="0"/>
    <w:pPr>
      <w:adjustRightInd/>
      <w:snapToGrid/>
      <w:spacing w:line="240" w:lineRule="auto"/>
      <w:ind w:left="100" w:leftChars="2100" w:firstLine="0" w:firstLineChars="0"/>
    </w:pPr>
    <w:rPr>
      <w:kern w:val="0"/>
      <w:sz w:val="20"/>
      <w:szCs w:val="24"/>
    </w:rPr>
  </w:style>
  <w:style w:type="paragraph" w:styleId="58">
    <w:name w:val="toc 1"/>
    <w:basedOn w:val="1"/>
    <w:next w:val="1"/>
    <w:autoRedefine/>
    <w:qFormat/>
    <w:uiPriority w:val="39"/>
    <w:pPr>
      <w:adjustRightInd/>
      <w:snapToGrid/>
      <w:spacing w:before="120" w:after="120" w:line="240" w:lineRule="auto"/>
      <w:ind w:firstLine="0" w:firstLineChars="0"/>
      <w:jc w:val="left"/>
    </w:pPr>
    <w:rPr>
      <w:b/>
      <w:bCs/>
      <w:caps/>
    </w:rPr>
  </w:style>
  <w:style w:type="paragraph" w:styleId="59">
    <w:name w:val="List Continue 4"/>
    <w:basedOn w:val="1"/>
    <w:autoRedefine/>
    <w:qFormat/>
    <w:uiPriority w:val="0"/>
    <w:pPr>
      <w:adjustRightInd/>
      <w:snapToGrid/>
      <w:spacing w:after="120" w:line="240" w:lineRule="auto"/>
      <w:ind w:left="1680" w:leftChars="800" w:firstLine="0" w:firstLineChars="0"/>
    </w:pPr>
    <w:rPr>
      <w:rFonts w:ascii="宋体" w:hAnsi="宋体"/>
      <w:sz w:val="28"/>
      <w:szCs w:val="28"/>
    </w:rPr>
  </w:style>
  <w:style w:type="paragraph" w:styleId="60">
    <w:name w:val="toc 4"/>
    <w:basedOn w:val="1"/>
    <w:next w:val="1"/>
    <w:autoRedefine/>
    <w:qFormat/>
    <w:uiPriority w:val="39"/>
    <w:pPr>
      <w:adjustRightInd/>
      <w:snapToGrid/>
      <w:spacing w:line="240" w:lineRule="auto"/>
      <w:ind w:left="900" w:firstLine="0" w:firstLineChars="0"/>
      <w:jc w:val="left"/>
    </w:pPr>
    <w:rPr>
      <w:sz w:val="18"/>
      <w:szCs w:val="18"/>
    </w:rPr>
  </w:style>
  <w:style w:type="paragraph" w:styleId="61">
    <w:name w:val="index heading"/>
    <w:basedOn w:val="1"/>
    <w:next w:val="62"/>
    <w:autoRedefine/>
    <w:qFormat/>
    <w:uiPriority w:val="0"/>
    <w:pPr>
      <w:widowControl/>
      <w:adjustRightInd/>
      <w:snapToGrid/>
      <w:spacing w:before="120" w:after="120"/>
      <w:jc w:val="left"/>
    </w:pPr>
    <w:rPr>
      <w:rFonts w:ascii="Calibri" w:hAnsi="Calibri"/>
      <w:b/>
      <w:i/>
      <w:kern w:val="0"/>
      <w:sz w:val="20"/>
      <w:szCs w:val="22"/>
    </w:rPr>
  </w:style>
  <w:style w:type="paragraph" w:styleId="62">
    <w:name w:val="index 1"/>
    <w:basedOn w:val="1"/>
    <w:next w:val="1"/>
    <w:autoRedefine/>
    <w:qFormat/>
    <w:uiPriority w:val="0"/>
    <w:pPr>
      <w:widowControl/>
      <w:adjustRightInd/>
      <w:snapToGrid/>
      <w:spacing w:after="200" w:line="276" w:lineRule="auto"/>
      <w:ind w:firstLine="0" w:firstLineChars="0"/>
      <w:jc w:val="left"/>
    </w:pPr>
    <w:rPr>
      <w:rFonts w:ascii="Calibri" w:hAnsi="Calibri"/>
      <w:kern w:val="0"/>
      <w:sz w:val="22"/>
      <w:szCs w:val="22"/>
    </w:rPr>
  </w:style>
  <w:style w:type="paragraph" w:styleId="63">
    <w:name w:val="Subtitle"/>
    <w:basedOn w:val="1"/>
    <w:next w:val="1"/>
    <w:link w:val="217"/>
    <w:autoRedefine/>
    <w:qFormat/>
    <w:uiPriority w:val="11"/>
    <w:pPr>
      <w:widowControl/>
      <w:adjustRightInd/>
      <w:snapToGrid/>
      <w:spacing w:after="200" w:line="276" w:lineRule="auto"/>
      <w:ind w:firstLine="0" w:firstLineChars="0"/>
      <w:jc w:val="left"/>
    </w:pPr>
    <w:rPr>
      <w:rFonts w:ascii="Cambria" w:hAnsi="Cambria"/>
      <w:i/>
      <w:iCs/>
      <w:color w:val="2DA2BF"/>
      <w:spacing w:val="15"/>
      <w:kern w:val="0"/>
      <w:szCs w:val="24"/>
    </w:rPr>
  </w:style>
  <w:style w:type="paragraph" w:styleId="64">
    <w:name w:val="List Number 5"/>
    <w:basedOn w:val="1"/>
    <w:autoRedefine/>
    <w:qFormat/>
    <w:uiPriority w:val="0"/>
    <w:pPr>
      <w:tabs>
        <w:tab w:val="left" w:pos="2040"/>
      </w:tabs>
      <w:adjustRightInd/>
      <w:snapToGrid/>
      <w:spacing w:line="240" w:lineRule="auto"/>
      <w:ind w:left="2040" w:leftChars="800" w:hanging="360" w:hangingChars="200"/>
    </w:pPr>
    <w:rPr>
      <w:rFonts w:ascii="宋体" w:hAnsi="宋体"/>
      <w:sz w:val="28"/>
      <w:szCs w:val="28"/>
    </w:rPr>
  </w:style>
  <w:style w:type="paragraph" w:styleId="65">
    <w:name w:val="List"/>
    <w:basedOn w:val="1"/>
    <w:autoRedefine/>
    <w:qFormat/>
    <w:uiPriority w:val="0"/>
    <w:pPr>
      <w:adjustRightInd/>
      <w:snapToGrid/>
      <w:spacing w:line="240" w:lineRule="auto"/>
      <w:ind w:left="200" w:hanging="200" w:hangingChars="200"/>
    </w:pPr>
    <w:rPr>
      <w:sz w:val="21"/>
      <w:szCs w:val="24"/>
    </w:rPr>
  </w:style>
  <w:style w:type="paragraph" w:styleId="66">
    <w:name w:val="footnote text"/>
    <w:basedOn w:val="1"/>
    <w:autoRedefine/>
    <w:semiHidden/>
    <w:qFormat/>
    <w:uiPriority w:val="0"/>
    <w:pPr>
      <w:adjustRightInd/>
      <w:spacing w:line="240" w:lineRule="auto"/>
      <w:ind w:firstLine="0" w:firstLineChars="0"/>
      <w:jc w:val="left"/>
    </w:pPr>
    <w:rPr>
      <w:rFonts w:eastAsia="仿宋_GB2312"/>
      <w:sz w:val="18"/>
      <w:szCs w:val="18"/>
    </w:rPr>
  </w:style>
  <w:style w:type="paragraph" w:styleId="67">
    <w:name w:val="toc 6"/>
    <w:basedOn w:val="1"/>
    <w:next w:val="1"/>
    <w:autoRedefine/>
    <w:qFormat/>
    <w:uiPriority w:val="39"/>
    <w:pPr>
      <w:adjustRightInd/>
      <w:snapToGrid/>
      <w:spacing w:line="240" w:lineRule="auto"/>
      <w:ind w:left="1500" w:firstLine="0" w:firstLineChars="0"/>
      <w:jc w:val="left"/>
    </w:pPr>
    <w:rPr>
      <w:sz w:val="18"/>
      <w:szCs w:val="18"/>
    </w:rPr>
  </w:style>
  <w:style w:type="paragraph" w:styleId="68">
    <w:name w:val="List 5"/>
    <w:basedOn w:val="1"/>
    <w:autoRedefine/>
    <w:qFormat/>
    <w:uiPriority w:val="0"/>
    <w:pPr>
      <w:adjustRightInd/>
      <w:snapToGrid/>
      <w:spacing w:line="240" w:lineRule="auto"/>
      <w:ind w:left="100" w:leftChars="800" w:hanging="200" w:hangingChars="200"/>
    </w:pPr>
    <w:rPr>
      <w:sz w:val="21"/>
      <w:szCs w:val="24"/>
    </w:rPr>
  </w:style>
  <w:style w:type="paragraph" w:styleId="69">
    <w:name w:val="Body Text Indent 3"/>
    <w:basedOn w:val="1"/>
    <w:link w:val="203"/>
    <w:autoRedefine/>
    <w:qFormat/>
    <w:uiPriority w:val="0"/>
    <w:pPr>
      <w:adjustRightInd/>
      <w:snapToGrid/>
      <w:spacing w:line="300" w:lineRule="auto"/>
      <w:ind w:firstLine="573" w:firstLineChars="0"/>
    </w:pPr>
    <w:rPr>
      <w:rFonts w:ascii="宋体" w:hAnsi="宋体"/>
      <w:kern w:val="0"/>
      <w:sz w:val="28"/>
    </w:rPr>
  </w:style>
  <w:style w:type="paragraph" w:styleId="70">
    <w:name w:val="index 7"/>
    <w:basedOn w:val="1"/>
    <w:next w:val="1"/>
    <w:autoRedefine/>
    <w:qFormat/>
    <w:uiPriority w:val="0"/>
    <w:pPr>
      <w:widowControl/>
      <w:adjustRightInd/>
      <w:snapToGrid/>
      <w:spacing w:after="200"/>
      <w:ind w:left="1470" w:hanging="210"/>
      <w:jc w:val="left"/>
    </w:pPr>
    <w:rPr>
      <w:rFonts w:ascii="Calibri" w:hAnsi="Calibri"/>
      <w:kern w:val="0"/>
      <w:sz w:val="20"/>
      <w:szCs w:val="22"/>
    </w:rPr>
  </w:style>
  <w:style w:type="paragraph" w:styleId="71">
    <w:name w:val="index 9"/>
    <w:basedOn w:val="1"/>
    <w:next w:val="1"/>
    <w:autoRedefine/>
    <w:qFormat/>
    <w:uiPriority w:val="0"/>
    <w:pPr>
      <w:widowControl/>
      <w:adjustRightInd/>
      <w:snapToGrid/>
      <w:spacing w:after="200"/>
      <w:ind w:left="1890" w:hanging="210"/>
      <w:jc w:val="left"/>
    </w:pPr>
    <w:rPr>
      <w:rFonts w:ascii="Calibri" w:hAnsi="Calibri"/>
      <w:kern w:val="0"/>
      <w:sz w:val="20"/>
      <w:szCs w:val="22"/>
    </w:rPr>
  </w:style>
  <w:style w:type="paragraph" w:styleId="72">
    <w:name w:val="table of figures"/>
    <w:basedOn w:val="1"/>
    <w:next w:val="1"/>
    <w:autoRedefine/>
    <w:semiHidden/>
    <w:qFormat/>
    <w:uiPriority w:val="0"/>
    <w:pPr>
      <w:adjustRightInd/>
      <w:snapToGrid/>
      <w:spacing w:line="240" w:lineRule="auto"/>
      <w:ind w:left="200" w:leftChars="200" w:hanging="200" w:hangingChars="200"/>
    </w:pPr>
    <w:rPr>
      <w:b/>
      <w:szCs w:val="24"/>
    </w:rPr>
  </w:style>
  <w:style w:type="paragraph" w:styleId="73">
    <w:name w:val="toc 2"/>
    <w:basedOn w:val="1"/>
    <w:next w:val="1"/>
    <w:autoRedefine/>
    <w:qFormat/>
    <w:uiPriority w:val="39"/>
    <w:pPr>
      <w:adjustRightInd/>
      <w:snapToGrid/>
      <w:spacing w:line="240" w:lineRule="auto"/>
      <w:ind w:left="301" w:firstLine="0" w:firstLineChars="0"/>
      <w:jc w:val="left"/>
    </w:pPr>
    <w:rPr>
      <w:smallCaps/>
    </w:rPr>
  </w:style>
  <w:style w:type="paragraph" w:styleId="74">
    <w:name w:val="toc 9"/>
    <w:basedOn w:val="1"/>
    <w:next w:val="1"/>
    <w:autoRedefine/>
    <w:qFormat/>
    <w:uiPriority w:val="39"/>
    <w:pPr>
      <w:adjustRightInd/>
      <w:snapToGrid/>
      <w:spacing w:line="240" w:lineRule="auto"/>
      <w:ind w:left="2400" w:firstLine="0" w:firstLineChars="0"/>
      <w:jc w:val="left"/>
    </w:pPr>
    <w:rPr>
      <w:sz w:val="18"/>
      <w:szCs w:val="18"/>
    </w:rPr>
  </w:style>
  <w:style w:type="paragraph" w:styleId="75">
    <w:name w:val="Body Text 2"/>
    <w:basedOn w:val="1"/>
    <w:link w:val="223"/>
    <w:autoRedefine/>
    <w:qFormat/>
    <w:uiPriority w:val="0"/>
    <w:pPr>
      <w:adjustRightInd/>
      <w:snapToGrid/>
      <w:spacing w:line="240" w:lineRule="auto"/>
      <w:ind w:firstLine="0" w:firstLineChars="0"/>
      <w:jc w:val="center"/>
    </w:pPr>
    <w:rPr>
      <w:kern w:val="0"/>
      <w:sz w:val="20"/>
    </w:rPr>
  </w:style>
  <w:style w:type="paragraph" w:styleId="76">
    <w:name w:val="List 4"/>
    <w:basedOn w:val="1"/>
    <w:autoRedefine/>
    <w:qFormat/>
    <w:uiPriority w:val="0"/>
    <w:pPr>
      <w:adjustRightInd/>
      <w:snapToGrid/>
      <w:spacing w:line="240" w:lineRule="auto"/>
      <w:ind w:left="100" w:leftChars="600" w:hanging="200" w:hangingChars="200"/>
    </w:pPr>
    <w:rPr>
      <w:sz w:val="21"/>
      <w:szCs w:val="24"/>
    </w:rPr>
  </w:style>
  <w:style w:type="paragraph" w:styleId="77">
    <w:name w:val="List Continue 2"/>
    <w:basedOn w:val="1"/>
    <w:autoRedefine/>
    <w:qFormat/>
    <w:uiPriority w:val="0"/>
    <w:pPr>
      <w:adjustRightInd/>
      <w:snapToGrid/>
      <w:spacing w:after="120" w:line="240" w:lineRule="auto"/>
      <w:ind w:left="840" w:leftChars="400" w:firstLine="0" w:firstLineChars="0"/>
    </w:pPr>
    <w:rPr>
      <w:rFonts w:ascii="宋体" w:hAnsi="宋体"/>
      <w:sz w:val="28"/>
      <w:szCs w:val="28"/>
    </w:rPr>
  </w:style>
  <w:style w:type="paragraph" w:styleId="78">
    <w:name w:val="Message Header"/>
    <w:basedOn w:val="1"/>
    <w:autoRedefine/>
    <w:qFormat/>
    <w:uiPriority w:val="0"/>
    <w:pPr>
      <w:pBdr>
        <w:top w:val="single" w:color="auto" w:sz="6" w:space="1"/>
        <w:left w:val="single" w:color="auto" w:sz="6" w:space="1"/>
        <w:bottom w:val="single" w:color="auto" w:sz="6" w:space="1"/>
        <w:right w:val="single" w:color="auto" w:sz="6" w:space="1"/>
      </w:pBdr>
      <w:shd w:val="pct20" w:color="auto" w:fill="auto"/>
      <w:adjustRightInd/>
      <w:snapToGrid/>
      <w:spacing w:line="240" w:lineRule="auto"/>
      <w:ind w:left="1080" w:leftChars="500" w:hanging="1080" w:hangingChars="500"/>
    </w:pPr>
    <w:rPr>
      <w:rFonts w:ascii="Arial" w:hAnsi="Arial" w:cs="Arial"/>
      <w:szCs w:val="24"/>
    </w:rPr>
  </w:style>
  <w:style w:type="paragraph" w:styleId="79">
    <w:name w:val="HTML Preformatted"/>
    <w:basedOn w:val="1"/>
    <w:autoRedefine/>
    <w:qFormat/>
    <w:uiPriority w:val="0"/>
    <w:pPr>
      <w:adjustRightInd/>
      <w:snapToGrid/>
      <w:spacing w:line="240" w:lineRule="auto"/>
      <w:ind w:firstLine="0" w:firstLineChars="0"/>
    </w:pPr>
    <w:rPr>
      <w:rFonts w:ascii="Courier New" w:hAnsi="Courier New" w:cs="Courier New"/>
      <w:sz w:val="20"/>
    </w:rPr>
  </w:style>
  <w:style w:type="paragraph" w:styleId="80">
    <w:name w:val="Normal (Web)"/>
    <w:basedOn w:val="1"/>
    <w:autoRedefine/>
    <w:qFormat/>
    <w:uiPriority w:val="0"/>
    <w:pPr>
      <w:widowControl/>
      <w:adjustRightInd/>
      <w:snapToGrid/>
      <w:spacing w:before="150" w:after="150" w:line="240" w:lineRule="auto"/>
      <w:ind w:firstLine="0" w:firstLineChars="0"/>
      <w:jc w:val="left"/>
    </w:pPr>
    <w:rPr>
      <w:rFonts w:ascii="宋体" w:hAnsi="宋体" w:cs="宋体"/>
      <w:kern w:val="0"/>
      <w:szCs w:val="24"/>
    </w:rPr>
  </w:style>
  <w:style w:type="paragraph" w:styleId="81">
    <w:name w:val="List Continue 3"/>
    <w:basedOn w:val="1"/>
    <w:autoRedefine/>
    <w:qFormat/>
    <w:uiPriority w:val="0"/>
    <w:pPr>
      <w:adjustRightInd/>
      <w:snapToGrid/>
      <w:spacing w:after="120" w:line="240" w:lineRule="auto"/>
      <w:ind w:left="1260" w:leftChars="600" w:firstLine="0" w:firstLineChars="0"/>
    </w:pPr>
    <w:rPr>
      <w:rFonts w:ascii="宋体" w:hAnsi="宋体"/>
      <w:sz w:val="28"/>
      <w:szCs w:val="28"/>
    </w:rPr>
  </w:style>
  <w:style w:type="paragraph" w:styleId="82">
    <w:name w:val="index 2"/>
    <w:basedOn w:val="1"/>
    <w:next w:val="1"/>
    <w:autoRedefine/>
    <w:qFormat/>
    <w:uiPriority w:val="0"/>
    <w:pPr>
      <w:widowControl/>
      <w:adjustRightInd/>
      <w:snapToGrid/>
      <w:spacing w:after="200"/>
      <w:ind w:left="420" w:hanging="210"/>
      <w:jc w:val="left"/>
    </w:pPr>
    <w:rPr>
      <w:rFonts w:ascii="Calibri" w:hAnsi="Calibri"/>
      <w:kern w:val="0"/>
      <w:sz w:val="20"/>
      <w:szCs w:val="22"/>
    </w:rPr>
  </w:style>
  <w:style w:type="paragraph" w:styleId="83">
    <w:name w:val="Title"/>
    <w:basedOn w:val="1"/>
    <w:next w:val="1"/>
    <w:link w:val="154"/>
    <w:autoRedefine/>
    <w:qFormat/>
    <w:uiPriority w:val="10"/>
    <w:pPr>
      <w:widowControl/>
      <w:pBdr>
        <w:bottom w:val="single" w:color="2DA2BF" w:sz="8" w:space="4"/>
      </w:pBdr>
      <w:adjustRightInd/>
      <w:snapToGrid/>
      <w:spacing w:after="300" w:line="240" w:lineRule="auto"/>
      <w:ind w:firstLine="0" w:firstLineChars="0"/>
      <w:contextualSpacing/>
      <w:jc w:val="left"/>
    </w:pPr>
    <w:rPr>
      <w:rFonts w:ascii="Cambria" w:hAnsi="Cambria"/>
      <w:color w:val="343434"/>
      <w:spacing w:val="5"/>
      <w:kern w:val="28"/>
      <w:sz w:val="52"/>
      <w:szCs w:val="52"/>
    </w:rPr>
  </w:style>
  <w:style w:type="paragraph" w:styleId="84">
    <w:name w:val="annotation subject"/>
    <w:basedOn w:val="27"/>
    <w:next w:val="27"/>
    <w:link w:val="183"/>
    <w:autoRedefine/>
    <w:qFormat/>
    <w:uiPriority w:val="0"/>
    <w:pPr>
      <w:spacing w:line="360" w:lineRule="auto"/>
      <w:ind w:left="0" w:leftChars="0" w:firstLine="200" w:firstLineChars="200"/>
    </w:pPr>
    <w:rPr>
      <w:rFonts w:eastAsia="仿宋_GB2312"/>
      <w:b/>
      <w:bCs/>
      <w:color w:val="00B050"/>
      <w:kern w:val="2"/>
      <w:sz w:val="24"/>
    </w:rPr>
  </w:style>
  <w:style w:type="paragraph" w:styleId="85">
    <w:name w:val="Body Text First Indent"/>
    <w:basedOn w:val="33"/>
    <w:link w:val="226"/>
    <w:autoRedefine/>
    <w:qFormat/>
    <w:uiPriority w:val="0"/>
    <w:pPr>
      <w:widowControl/>
      <w:spacing w:before="0" w:after="120" w:line="360" w:lineRule="auto"/>
      <w:ind w:firstLine="420" w:firstLineChars="100"/>
      <w:jc w:val="left"/>
    </w:pPr>
    <w:rPr>
      <w:kern w:val="2"/>
      <w:sz w:val="21"/>
    </w:rPr>
  </w:style>
  <w:style w:type="paragraph" w:styleId="86">
    <w:name w:val="Body Text First Indent 2"/>
    <w:basedOn w:val="34"/>
    <w:link w:val="149"/>
    <w:autoRedefine/>
    <w:qFormat/>
    <w:uiPriority w:val="0"/>
    <w:pPr>
      <w:widowControl/>
      <w:spacing w:after="120" w:line="276" w:lineRule="auto"/>
      <w:ind w:left="200" w:leftChars="200" w:firstLine="420" w:firstLineChars="200"/>
      <w:jc w:val="left"/>
    </w:pPr>
    <w:rPr>
      <w:kern w:val="2"/>
      <w:sz w:val="21"/>
    </w:rPr>
  </w:style>
  <w:style w:type="table" w:styleId="88">
    <w:name w:val="Table Grid"/>
    <w:basedOn w:val="87"/>
    <w:autoRedefine/>
    <w:qFormat/>
    <w:uiPriority w:val="59"/>
    <w:pPr>
      <w:widowControl w:val="0"/>
      <w:jc w:val="center"/>
    </w:pPr>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vAlign w:val="center"/>
    </w:tcPr>
  </w:style>
  <w:style w:type="character" w:styleId="90">
    <w:name w:val="Strong"/>
    <w:autoRedefine/>
    <w:qFormat/>
    <w:uiPriority w:val="22"/>
    <w:rPr>
      <w:b/>
      <w:bCs/>
    </w:rPr>
  </w:style>
  <w:style w:type="character" w:styleId="91">
    <w:name w:val="endnote reference"/>
    <w:basedOn w:val="89"/>
    <w:autoRedefine/>
    <w:qFormat/>
    <w:uiPriority w:val="0"/>
    <w:rPr>
      <w:vertAlign w:val="superscript"/>
    </w:rPr>
  </w:style>
  <w:style w:type="character" w:styleId="92">
    <w:name w:val="page number"/>
    <w:basedOn w:val="89"/>
    <w:autoRedefine/>
    <w:qFormat/>
    <w:uiPriority w:val="0"/>
  </w:style>
  <w:style w:type="character" w:styleId="93">
    <w:name w:val="FollowedHyperlink"/>
    <w:autoRedefine/>
    <w:qFormat/>
    <w:uiPriority w:val="99"/>
    <w:rPr>
      <w:color w:val="800080"/>
      <w:u w:val="single"/>
    </w:rPr>
  </w:style>
  <w:style w:type="character" w:styleId="94">
    <w:name w:val="Emphasis"/>
    <w:autoRedefine/>
    <w:qFormat/>
    <w:uiPriority w:val="20"/>
    <w:rPr>
      <w:i/>
      <w:iCs/>
    </w:rPr>
  </w:style>
  <w:style w:type="character" w:styleId="95">
    <w:name w:val="Hyperlink"/>
    <w:autoRedefine/>
    <w:qFormat/>
    <w:uiPriority w:val="99"/>
    <w:rPr>
      <w:color w:val="0000FF"/>
      <w:u w:val="single"/>
    </w:rPr>
  </w:style>
  <w:style w:type="character" w:styleId="96">
    <w:name w:val="annotation reference"/>
    <w:autoRedefine/>
    <w:qFormat/>
    <w:uiPriority w:val="0"/>
    <w:rPr>
      <w:sz w:val="21"/>
      <w:szCs w:val="21"/>
    </w:rPr>
  </w:style>
  <w:style w:type="character" w:styleId="97">
    <w:name w:val="footnote reference"/>
    <w:basedOn w:val="89"/>
    <w:autoRedefine/>
    <w:semiHidden/>
    <w:qFormat/>
    <w:uiPriority w:val="0"/>
    <w:rPr>
      <w:vertAlign w:val="superscript"/>
    </w:rPr>
  </w:style>
  <w:style w:type="paragraph" w:customStyle="1" w:styleId="98">
    <w:name w:val="我的正文"/>
    <w:basedOn w:val="1"/>
    <w:next w:val="1"/>
    <w:autoRedefine/>
    <w:qFormat/>
    <w:uiPriority w:val="0"/>
    <w:pPr>
      <w:ind w:firstLine="480"/>
    </w:pPr>
    <w:rPr>
      <w:rFonts w:cs="宋体"/>
    </w:rPr>
  </w:style>
  <w:style w:type="character" w:customStyle="1" w:styleId="99">
    <w:name w:val="标题 1 字符"/>
    <w:link w:val="4"/>
    <w:autoRedefine/>
    <w:qFormat/>
    <w:uiPriority w:val="0"/>
    <w:rPr>
      <w:rFonts w:eastAsia="宋体"/>
      <w:b/>
      <w:bCs/>
      <w:kern w:val="44"/>
      <w:sz w:val="32"/>
      <w:szCs w:val="44"/>
      <w:lang w:val="en-US" w:eastAsia="zh-CN" w:bidi="ar-SA"/>
    </w:rPr>
  </w:style>
  <w:style w:type="character" w:customStyle="1" w:styleId="100">
    <w:name w:val="标题 2 字符"/>
    <w:link w:val="5"/>
    <w:autoRedefine/>
    <w:qFormat/>
    <w:uiPriority w:val="0"/>
    <w:rPr>
      <w:rFonts w:ascii="Cambria" w:hAnsi="Cambria" w:eastAsia="宋体"/>
      <w:b/>
      <w:bCs/>
      <w:color w:val="000000"/>
      <w:kern w:val="2"/>
      <w:sz w:val="30"/>
      <w:szCs w:val="32"/>
      <w:lang w:val="en-US" w:eastAsia="zh-CN" w:bidi="ar-SA"/>
    </w:rPr>
  </w:style>
  <w:style w:type="character" w:customStyle="1" w:styleId="101">
    <w:name w:val="标题 3 字符"/>
    <w:link w:val="6"/>
    <w:autoRedefine/>
    <w:qFormat/>
    <w:uiPriority w:val="0"/>
    <w:rPr>
      <w:rFonts w:ascii="Times New Roman" w:hAnsi="Times New Roman"/>
      <w:b/>
      <w:bCs/>
      <w:kern w:val="2"/>
      <w:sz w:val="28"/>
      <w:szCs w:val="32"/>
    </w:rPr>
  </w:style>
  <w:style w:type="character" w:customStyle="1" w:styleId="102">
    <w:name w:val="标题 4 字符"/>
    <w:link w:val="7"/>
    <w:autoRedefine/>
    <w:qFormat/>
    <w:uiPriority w:val="99"/>
    <w:rPr>
      <w:rFonts w:ascii="Cambria" w:hAnsi="Cambria" w:eastAsia="宋体" w:cs="Times New Roman"/>
      <w:b/>
      <w:bCs/>
      <w:sz w:val="24"/>
      <w:szCs w:val="28"/>
    </w:rPr>
  </w:style>
  <w:style w:type="character" w:customStyle="1" w:styleId="103">
    <w:name w:val="标题 5 字符"/>
    <w:link w:val="8"/>
    <w:autoRedefine/>
    <w:qFormat/>
    <w:uiPriority w:val="9"/>
    <w:rPr>
      <w:rFonts w:ascii="宋体" w:hAnsi="宋体" w:eastAsia="宋体" w:cs="Times New Roman"/>
      <w:sz w:val="28"/>
      <w:szCs w:val="24"/>
    </w:rPr>
  </w:style>
  <w:style w:type="character" w:customStyle="1" w:styleId="104">
    <w:name w:val="标题 6 字符"/>
    <w:link w:val="9"/>
    <w:autoRedefine/>
    <w:qFormat/>
    <w:uiPriority w:val="9"/>
    <w:rPr>
      <w:rFonts w:ascii="Cambria" w:hAnsi="Cambria"/>
      <w:i/>
      <w:iCs/>
      <w:color w:val="16505E"/>
    </w:rPr>
  </w:style>
  <w:style w:type="character" w:customStyle="1" w:styleId="105">
    <w:name w:val="标题 7 字符"/>
    <w:link w:val="10"/>
    <w:autoRedefine/>
    <w:qFormat/>
    <w:uiPriority w:val="9"/>
    <w:rPr>
      <w:rFonts w:ascii="Cambria" w:hAnsi="Cambria"/>
      <w:i/>
      <w:iCs/>
      <w:color w:val="404040"/>
    </w:rPr>
  </w:style>
  <w:style w:type="character" w:customStyle="1" w:styleId="106">
    <w:name w:val="标题 8 字符"/>
    <w:link w:val="11"/>
    <w:autoRedefine/>
    <w:qFormat/>
    <w:uiPriority w:val="9"/>
    <w:rPr>
      <w:rFonts w:ascii="Cambria" w:hAnsi="Cambria"/>
      <w:color w:val="2DA2BF"/>
    </w:rPr>
  </w:style>
  <w:style w:type="character" w:customStyle="1" w:styleId="107">
    <w:name w:val="标题 9 字符"/>
    <w:link w:val="12"/>
    <w:autoRedefine/>
    <w:qFormat/>
    <w:uiPriority w:val="9"/>
    <w:rPr>
      <w:rFonts w:ascii="Cambria" w:hAnsi="Cambria"/>
      <w:i/>
      <w:iCs/>
      <w:color w:val="404040"/>
    </w:rPr>
  </w:style>
  <w:style w:type="character" w:customStyle="1" w:styleId="108">
    <w:name w:val="标题 2 Char Char Char"/>
    <w:autoRedefine/>
    <w:qFormat/>
    <w:uiPriority w:val="0"/>
    <w:rPr>
      <w:rFonts w:ascii="Arial" w:hAnsi="Arial" w:eastAsia="黑体"/>
      <w:kern w:val="2"/>
      <w:sz w:val="30"/>
      <w:lang w:val="en-US" w:eastAsia="zh-CN"/>
    </w:rPr>
  </w:style>
  <w:style w:type="character" w:customStyle="1" w:styleId="109">
    <w:name w:val="1111 Char"/>
    <w:basedOn w:val="89"/>
    <w:autoRedefine/>
    <w:qFormat/>
    <w:uiPriority w:val="0"/>
    <w:rPr>
      <w:rFonts w:hAnsi="宋体" w:eastAsia="宋体" w:cs="宋体"/>
      <w:kern w:val="2"/>
      <w:sz w:val="28"/>
      <w:lang w:val="en-US" w:eastAsia="zh-CN" w:bidi="ar-SA"/>
    </w:rPr>
  </w:style>
  <w:style w:type="character" w:styleId="110">
    <w:name w:val="Placeholder Text"/>
    <w:autoRedefine/>
    <w:semiHidden/>
    <w:qFormat/>
    <w:uiPriority w:val="99"/>
    <w:rPr>
      <w:color w:val="808080"/>
    </w:rPr>
  </w:style>
  <w:style w:type="character" w:customStyle="1" w:styleId="111">
    <w:name w:val="正文文字1 Char"/>
    <w:autoRedefine/>
    <w:qFormat/>
    <w:uiPriority w:val="0"/>
    <w:rPr>
      <w:rFonts w:eastAsia="宋体"/>
      <w:kern w:val="2"/>
      <w:sz w:val="28"/>
      <w:szCs w:val="24"/>
      <w:lang w:val="en-US" w:eastAsia="zh-CN" w:bidi="ar-SA"/>
    </w:rPr>
  </w:style>
  <w:style w:type="character" w:customStyle="1" w:styleId="112">
    <w:name w:val="Char Char16"/>
    <w:autoRedefine/>
    <w:qFormat/>
    <w:locked/>
    <w:uiPriority w:val="0"/>
    <w:rPr>
      <w:rFonts w:ascii="Arial" w:hAnsi="Arial" w:eastAsia="黑体"/>
      <w:kern w:val="2"/>
      <w:sz w:val="24"/>
      <w:szCs w:val="24"/>
      <w:lang w:val="en-US" w:eastAsia="zh-CN" w:bidi="ar-SA"/>
    </w:rPr>
  </w:style>
  <w:style w:type="character" w:customStyle="1" w:styleId="113">
    <w:name w:val="样式 标题 3条标题1.1.1标题 3 Char2条标题1.1.1 CharBSH-3 CharH3 Char标题 ... Char"/>
    <w:link w:val="114"/>
    <w:autoRedefine/>
    <w:qFormat/>
    <w:uiPriority w:val="0"/>
    <w:rPr>
      <w:rFonts w:ascii="黑体" w:hAnsi="宋体" w:eastAsia="黑体"/>
      <w:b/>
      <w:spacing w:val="20"/>
      <w:kern w:val="2"/>
      <w:sz w:val="32"/>
    </w:rPr>
  </w:style>
  <w:style w:type="paragraph" w:customStyle="1" w:styleId="114">
    <w:name w:val="样式 标题 3条标题1.1.1标题 3 Char2条标题1.1.1 CharBSH-3 CharH3 Char标题 ..."/>
    <w:basedOn w:val="6"/>
    <w:link w:val="113"/>
    <w:autoRedefine/>
    <w:qFormat/>
    <w:uiPriority w:val="0"/>
    <w:pPr>
      <w:pageBreakBefore/>
      <w:widowControl/>
      <w:adjustRightInd/>
      <w:snapToGrid/>
      <w:spacing w:line="720" w:lineRule="auto"/>
      <w:ind w:firstLine="0" w:firstLineChars="0"/>
      <w:jc w:val="center"/>
    </w:pPr>
    <w:rPr>
      <w:rFonts w:ascii="黑体" w:hAnsi="宋体" w:eastAsia="黑体"/>
      <w:bCs w:val="0"/>
      <w:spacing w:val="20"/>
      <w:sz w:val="32"/>
      <w:szCs w:val="20"/>
    </w:rPr>
  </w:style>
  <w:style w:type="character" w:customStyle="1" w:styleId="115">
    <w:name w:val="正文文本 Char"/>
    <w:basedOn w:val="89"/>
    <w:autoRedefine/>
    <w:qFormat/>
    <w:uiPriority w:val="0"/>
    <w:rPr>
      <w:rFonts w:eastAsia="宋体"/>
      <w:kern w:val="2"/>
      <w:sz w:val="21"/>
      <w:szCs w:val="24"/>
      <w:lang w:val="en-US" w:eastAsia="zh-CN" w:bidi="ar-SA"/>
    </w:rPr>
  </w:style>
  <w:style w:type="character" w:customStyle="1" w:styleId="116">
    <w:name w:val="Char Char22"/>
    <w:autoRedefine/>
    <w:qFormat/>
    <w:uiPriority w:val="0"/>
    <w:rPr>
      <w:rFonts w:hint="eastAsia" w:ascii="宋体" w:hAnsi="宋体" w:eastAsia="宋体"/>
      <w:b/>
      <w:kern w:val="44"/>
      <w:sz w:val="32"/>
      <w:lang w:val="en-US" w:eastAsia="zh-CN" w:bidi="ar-SA"/>
    </w:rPr>
  </w:style>
  <w:style w:type="character" w:customStyle="1" w:styleId="117">
    <w:name w:val="首行缩进两字 Char1"/>
    <w:basedOn w:val="89"/>
    <w:link w:val="118"/>
    <w:autoRedefine/>
    <w:qFormat/>
    <w:uiPriority w:val="0"/>
    <w:rPr>
      <w:rFonts w:eastAsia="宋体"/>
      <w:kern w:val="2"/>
      <w:sz w:val="24"/>
      <w:lang w:val="en-US" w:eastAsia="zh-CN" w:bidi="ar-SA"/>
    </w:rPr>
  </w:style>
  <w:style w:type="paragraph" w:customStyle="1" w:styleId="118">
    <w:name w:val="正文缩进2"/>
    <w:basedOn w:val="1"/>
    <w:link w:val="117"/>
    <w:autoRedefine/>
    <w:qFormat/>
    <w:uiPriority w:val="0"/>
    <w:pPr>
      <w:ind w:firstLine="480"/>
      <w:textAlignment w:val="baseline"/>
    </w:pPr>
  </w:style>
  <w:style w:type="character" w:customStyle="1" w:styleId="119">
    <w:name w:val="样式 正文 +"/>
    <w:autoRedefine/>
    <w:qFormat/>
    <w:uiPriority w:val="0"/>
    <w:rPr>
      <w:rFonts w:eastAsia="仿宋_GB2312"/>
      <w:spacing w:val="0"/>
      <w:w w:val="100"/>
      <w:kern w:val="28"/>
      <w:position w:val="0"/>
      <w:sz w:val="28"/>
      <w:szCs w:val="28"/>
      <w:vertAlign w:val="baseline"/>
    </w:rPr>
  </w:style>
  <w:style w:type="character" w:customStyle="1" w:styleId="120">
    <w:name w:val="正文文本缩进 2 字符"/>
    <w:link w:val="50"/>
    <w:autoRedefine/>
    <w:qFormat/>
    <w:uiPriority w:val="0"/>
    <w:rPr>
      <w:rFonts w:ascii="宋体" w:hAnsi="宋体" w:eastAsia="宋体" w:cs="Times New Roman"/>
      <w:sz w:val="28"/>
      <w:szCs w:val="20"/>
    </w:rPr>
  </w:style>
  <w:style w:type="character" w:customStyle="1" w:styleId="121">
    <w:name w:val="普通文字 Char1"/>
    <w:autoRedefine/>
    <w:qFormat/>
    <w:uiPriority w:val="0"/>
    <w:rPr>
      <w:rFonts w:ascii="宋体" w:hAnsi="Courier New" w:eastAsia="宋体"/>
      <w:kern w:val="2"/>
      <w:sz w:val="21"/>
      <w:szCs w:val="21"/>
      <w:lang w:val="en-US" w:eastAsia="zh-CN" w:bidi="ar-SA"/>
    </w:rPr>
  </w:style>
  <w:style w:type="character" w:customStyle="1" w:styleId="122">
    <w:name w:val="正文 Char Char"/>
    <w:autoRedefine/>
    <w:qFormat/>
    <w:uiPriority w:val="0"/>
    <w:rPr>
      <w:rFonts w:eastAsia="仿宋_GB2312"/>
      <w:kern w:val="2"/>
      <w:sz w:val="24"/>
      <w:szCs w:val="24"/>
    </w:rPr>
  </w:style>
  <w:style w:type="character" w:customStyle="1" w:styleId="123">
    <w:name w:val="0916正文样式 Char1"/>
    <w:basedOn w:val="89"/>
    <w:link w:val="124"/>
    <w:autoRedefine/>
    <w:qFormat/>
    <w:uiPriority w:val="0"/>
    <w:rPr>
      <w:rFonts w:eastAsia="宋体"/>
      <w:bCs/>
      <w:snapToGrid w:val="0"/>
      <w:sz w:val="24"/>
      <w:szCs w:val="24"/>
      <w:lang w:val="en-US" w:eastAsia="zh-CN" w:bidi="ar-SA"/>
    </w:rPr>
  </w:style>
  <w:style w:type="paragraph" w:customStyle="1" w:styleId="124">
    <w:name w:val="0916正文样式"/>
    <w:basedOn w:val="1"/>
    <w:link w:val="123"/>
    <w:autoRedefine/>
    <w:qFormat/>
    <w:uiPriority w:val="0"/>
    <w:pPr>
      <w:ind w:firstLine="480"/>
    </w:pPr>
    <w:rPr>
      <w:bCs/>
      <w:snapToGrid w:val="0"/>
      <w:kern w:val="0"/>
      <w:szCs w:val="24"/>
    </w:rPr>
  </w:style>
  <w:style w:type="character" w:customStyle="1" w:styleId="125">
    <w:name w:val="样式 样式 标题 2标题 2 Char + 自动设置 首行缩进:  1.13 厘米 + (中文) 仿宋_GB2312 三号 Char"/>
    <w:link w:val="126"/>
    <w:autoRedefine/>
    <w:qFormat/>
    <w:uiPriority w:val="0"/>
    <w:rPr>
      <w:rFonts w:ascii="黑体" w:eastAsia="黑体"/>
      <w:b/>
      <w:kern w:val="2"/>
      <w:sz w:val="32"/>
    </w:rPr>
  </w:style>
  <w:style w:type="paragraph" w:customStyle="1" w:styleId="126">
    <w:name w:val="样式 样式 标题 2标题 2 Char + 自动设置 首行缩进:  1.13 厘米 + (中文) 仿宋_GB2312 三号"/>
    <w:basedOn w:val="127"/>
    <w:link w:val="125"/>
    <w:autoRedefine/>
    <w:qFormat/>
    <w:uiPriority w:val="0"/>
    <w:rPr>
      <w:rFonts w:hAnsi="Calibri"/>
      <w:sz w:val="32"/>
    </w:rPr>
  </w:style>
  <w:style w:type="paragraph" w:customStyle="1" w:styleId="127">
    <w:name w:val="样式 标题 2标题 2 Char + 自动设置 首行缩进:  1.13 厘米"/>
    <w:basedOn w:val="5"/>
    <w:link w:val="128"/>
    <w:autoRedefine/>
    <w:qFormat/>
    <w:uiPriority w:val="0"/>
    <w:pPr>
      <w:widowControl/>
      <w:adjustRightInd/>
      <w:snapToGrid/>
      <w:spacing w:before="0"/>
      <w:ind w:firstLine="200" w:firstLineChars="200"/>
      <w:jc w:val="left"/>
    </w:pPr>
    <w:rPr>
      <w:rFonts w:ascii="黑体" w:hAnsi="Arial" w:eastAsia="黑体"/>
      <w:bCs w:val="0"/>
      <w:color w:val="auto"/>
      <w:sz w:val="28"/>
      <w:szCs w:val="20"/>
    </w:rPr>
  </w:style>
  <w:style w:type="character" w:customStyle="1" w:styleId="128">
    <w:name w:val="样式 标题 2标题 2 Char + 自动设置 首行缩进:  1.13 厘米 Char"/>
    <w:link w:val="127"/>
    <w:autoRedefine/>
    <w:qFormat/>
    <w:uiPriority w:val="0"/>
    <w:rPr>
      <w:rFonts w:ascii="黑体" w:hAnsi="Arial" w:eastAsia="黑体"/>
      <w:b/>
      <w:kern w:val="2"/>
      <w:sz w:val="28"/>
    </w:rPr>
  </w:style>
  <w:style w:type="character" w:customStyle="1" w:styleId="129">
    <w:name w:val="表头 Char Char"/>
    <w:link w:val="130"/>
    <w:autoRedefine/>
    <w:qFormat/>
    <w:uiPriority w:val="0"/>
    <w:rPr>
      <w:rFonts w:ascii="黑体" w:eastAsia="黑体"/>
      <w:sz w:val="24"/>
    </w:rPr>
  </w:style>
  <w:style w:type="paragraph" w:customStyle="1" w:styleId="130">
    <w:name w:val="表头"/>
    <w:basedOn w:val="1"/>
    <w:link w:val="129"/>
    <w:autoRedefine/>
    <w:qFormat/>
    <w:uiPriority w:val="0"/>
    <w:pPr>
      <w:adjustRightInd/>
      <w:snapToGrid/>
      <w:ind w:firstLine="0" w:firstLineChars="0"/>
      <w:jc w:val="center"/>
    </w:pPr>
    <w:rPr>
      <w:rFonts w:ascii="黑体" w:hAnsi="Calibri" w:eastAsia="黑体"/>
      <w:kern w:val="0"/>
    </w:rPr>
  </w:style>
  <w:style w:type="character" w:customStyle="1" w:styleId="131">
    <w:name w:val="apple-style-span"/>
    <w:basedOn w:val="89"/>
    <w:autoRedefine/>
    <w:qFormat/>
    <w:uiPriority w:val="0"/>
  </w:style>
  <w:style w:type="character" w:customStyle="1" w:styleId="132">
    <w:name w:val="正文缩进 字符"/>
    <w:link w:val="21"/>
    <w:autoRedefine/>
    <w:qFormat/>
    <w:uiPriority w:val="0"/>
    <w:rPr>
      <w:rFonts w:ascii="Times New Roman" w:hAnsi="Times New Roman"/>
      <w:kern w:val="2"/>
      <w:sz w:val="21"/>
      <w:szCs w:val="24"/>
    </w:rPr>
  </w:style>
  <w:style w:type="character" w:customStyle="1" w:styleId="133">
    <w:name w:val="无间隔 字符"/>
    <w:link w:val="134"/>
    <w:autoRedefine/>
    <w:qFormat/>
    <w:uiPriority w:val="1"/>
    <w:rPr>
      <w:rFonts w:ascii="Times New Roman" w:hAnsi="Times New Roman"/>
      <w:kern w:val="2"/>
      <w:sz w:val="24"/>
      <w:lang w:val="en-US" w:eastAsia="zh-CN" w:bidi="ar-SA"/>
    </w:rPr>
  </w:style>
  <w:style w:type="paragraph" w:styleId="134">
    <w:name w:val="No Spacing"/>
    <w:link w:val="133"/>
    <w:autoRedefine/>
    <w:qFormat/>
    <w:uiPriority w:val="1"/>
    <w:pPr>
      <w:widowControl w:val="0"/>
      <w:adjustRightInd w:val="0"/>
      <w:snapToGrid w:val="0"/>
      <w:ind w:firstLine="200" w:firstLineChars="200"/>
      <w:jc w:val="both"/>
    </w:pPr>
    <w:rPr>
      <w:rFonts w:ascii="Times New Roman" w:hAnsi="Times New Roman" w:eastAsia="宋体" w:cs="Times New Roman"/>
      <w:kern w:val="2"/>
      <w:sz w:val="24"/>
      <w:lang w:val="en-US" w:eastAsia="zh-CN" w:bidi="ar-SA"/>
    </w:rPr>
  </w:style>
  <w:style w:type="character" w:customStyle="1" w:styleId="135">
    <w:name w:val="Char Char24"/>
    <w:autoRedefine/>
    <w:qFormat/>
    <w:uiPriority w:val="0"/>
    <w:rPr>
      <w:rFonts w:ascii="Arial" w:hAnsi="Arial" w:eastAsia="黑体"/>
      <w:b/>
      <w:kern w:val="2"/>
      <w:sz w:val="30"/>
      <w:lang w:val="en-US" w:eastAsia="zh-CN"/>
    </w:rPr>
  </w:style>
  <w:style w:type="character" w:customStyle="1" w:styleId="136">
    <w:name w:val="页脚 字符"/>
    <w:link w:val="54"/>
    <w:autoRedefine/>
    <w:qFormat/>
    <w:uiPriority w:val="99"/>
    <w:rPr>
      <w:sz w:val="18"/>
      <w:szCs w:val="18"/>
    </w:rPr>
  </w:style>
  <w:style w:type="character" w:customStyle="1" w:styleId="137">
    <w:name w:val="标题 3 Char"/>
    <w:autoRedefine/>
    <w:qFormat/>
    <w:uiPriority w:val="99"/>
    <w:rPr>
      <w:rFonts w:eastAsia="宋体"/>
      <w:b/>
      <w:kern w:val="2"/>
      <w:sz w:val="32"/>
      <w:lang w:val="en-US" w:eastAsia="zh-CN"/>
    </w:rPr>
  </w:style>
  <w:style w:type="character" w:customStyle="1" w:styleId="138">
    <w:name w:val="font51"/>
    <w:basedOn w:val="89"/>
    <w:autoRedefine/>
    <w:qFormat/>
    <w:uiPriority w:val="0"/>
    <w:rPr>
      <w:rFonts w:hint="default" w:ascii="Times New Roman" w:hAnsi="Times New Roman"/>
      <w:color w:val="000000"/>
      <w:sz w:val="20"/>
      <w:u w:val="none"/>
      <w:vertAlign w:val="subscript"/>
    </w:rPr>
  </w:style>
  <w:style w:type="character" w:customStyle="1" w:styleId="139">
    <w:name w:val="hang231"/>
    <w:basedOn w:val="89"/>
    <w:autoRedefine/>
    <w:qFormat/>
    <w:uiPriority w:val="0"/>
    <w:rPr>
      <w:rFonts w:hint="default" w:ascii="ˎ̥" w:hAnsi="ˎ̥"/>
      <w:color w:val="000000"/>
      <w:sz w:val="20"/>
      <w:szCs w:val="20"/>
    </w:rPr>
  </w:style>
  <w:style w:type="character" w:customStyle="1" w:styleId="140">
    <w:name w:val="ca-1"/>
    <w:basedOn w:val="89"/>
    <w:autoRedefine/>
    <w:qFormat/>
    <w:uiPriority w:val="0"/>
  </w:style>
  <w:style w:type="character" w:customStyle="1" w:styleId="141">
    <w:name w:val="表头 Char"/>
    <w:autoRedefine/>
    <w:qFormat/>
    <w:uiPriority w:val="0"/>
    <w:rPr>
      <w:rFonts w:ascii="黑体" w:eastAsia="黑体"/>
      <w:sz w:val="24"/>
      <w:lang w:bidi="ar-SA"/>
    </w:rPr>
  </w:style>
  <w:style w:type="character" w:customStyle="1" w:styleId="142">
    <w:name w:val="正文样式 Char"/>
    <w:basedOn w:val="89"/>
    <w:link w:val="143"/>
    <w:autoRedefine/>
    <w:qFormat/>
    <w:uiPriority w:val="0"/>
    <w:rPr>
      <w:rFonts w:ascii="宋体" w:hAnsi="宋体" w:eastAsia="宋体"/>
      <w:sz w:val="24"/>
      <w:szCs w:val="22"/>
      <w:lang w:val="en-US" w:eastAsia="zh-CN" w:bidi="ar-SA"/>
    </w:rPr>
  </w:style>
  <w:style w:type="paragraph" w:customStyle="1" w:styleId="143">
    <w:name w:val="正文样式"/>
    <w:basedOn w:val="1"/>
    <w:link w:val="142"/>
    <w:autoRedefine/>
    <w:qFormat/>
    <w:uiPriority w:val="0"/>
    <w:pPr>
      <w:widowControl/>
      <w:adjustRightInd/>
      <w:snapToGrid/>
      <w:spacing w:after="200" w:line="460" w:lineRule="exact"/>
      <w:jc w:val="left"/>
    </w:pPr>
    <w:rPr>
      <w:rFonts w:ascii="宋体" w:hAnsi="宋体"/>
      <w:kern w:val="0"/>
      <w:szCs w:val="22"/>
    </w:rPr>
  </w:style>
  <w:style w:type="character" w:customStyle="1" w:styleId="144">
    <w:name w:val="页脚 Char"/>
    <w:basedOn w:val="89"/>
    <w:autoRedefine/>
    <w:qFormat/>
    <w:uiPriority w:val="99"/>
    <w:rPr>
      <w:kern w:val="2"/>
      <w:sz w:val="18"/>
      <w:szCs w:val="18"/>
    </w:rPr>
  </w:style>
  <w:style w:type="character" w:customStyle="1" w:styleId="145">
    <w:name w:val="样式 表文字 + 五号 Char"/>
    <w:basedOn w:val="89"/>
    <w:link w:val="146"/>
    <w:autoRedefine/>
    <w:qFormat/>
    <w:uiPriority w:val="0"/>
    <w:rPr>
      <w:rFonts w:eastAsia="宋体"/>
      <w:snapToGrid w:val="0"/>
      <w:w w:val="95"/>
      <w:sz w:val="24"/>
      <w:szCs w:val="21"/>
      <w:lang w:val="en-US" w:eastAsia="zh-CN" w:bidi="ar-SA"/>
    </w:rPr>
  </w:style>
  <w:style w:type="paragraph" w:customStyle="1" w:styleId="146">
    <w:name w:val="样式 表文字 + 五号"/>
    <w:basedOn w:val="147"/>
    <w:link w:val="145"/>
    <w:autoRedefine/>
    <w:qFormat/>
    <w:uiPriority w:val="0"/>
    <w:rPr>
      <w:szCs w:val="21"/>
    </w:rPr>
  </w:style>
  <w:style w:type="paragraph" w:customStyle="1" w:styleId="147">
    <w:name w:val="表文字"/>
    <w:autoRedefine/>
    <w:qFormat/>
    <w:uiPriority w:val="0"/>
    <w:pPr>
      <w:widowControl w:val="0"/>
      <w:spacing w:line="240" w:lineRule="exact"/>
      <w:jc w:val="center"/>
    </w:pPr>
    <w:rPr>
      <w:rFonts w:ascii="Times New Roman" w:hAnsi="Times New Roman" w:eastAsia="宋体" w:cs="Times New Roman"/>
      <w:snapToGrid w:val="0"/>
      <w:w w:val="95"/>
      <w:sz w:val="24"/>
      <w:lang w:val="en-US" w:eastAsia="zh-CN" w:bidi="ar-SA"/>
    </w:rPr>
  </w:style>
  <w:style w:type="character" w:customStyle="1" w:styleId="148">
    <w:name w:val="明显参考1"/>
    <w:autoRedefine/>
    <w:qFormat/>
    <w:uiPriority w:val="32"/>
    <w:rPr>
      <w:b/>
      <w:bCs/>
      <w:smallCaps/>
      <w:color w:val="DA1F28"/>
      <w:spacing w:val="5"/>
      <w:u w:val="single"/>
    </w:rPr>
  </w:style>
  <w:style w:type="character" w:customStyle="1" w:styleId="149">
    <w:name w:val="正文文本首行缩进 2 字符"/>
    <w:link w:val="86"/>
    <w:autoRedefine/>
    <w:qFormat/>
    <w:uiPriority w:val="0"/>
    <w:rPr>
      <w:rFonts w:ascii="Times New Roman" w:hAnsi="Times New Roman" w:eastAsia="宋体" w:cs="Times New Roman"/>
      <w:kern w:val="2"/>
      <w:sz w:val="21"/>
      <w:szCs w:val="20"/>
    </w:rPr>
  </w:style>
  <w:style w:type="character" w:customStyle="1" w:styleId="150">
    <w:name w:val="正文文本缩进 字符"/>
    <w:link w:val="34"/>
    <w:autoRedefine/>
    <w:qFormat/>
    <w:uiPriority w:val="0"/>
    <w:rPr>
      <w:rFonts w:ascii="Times New Roman" w:hAnsi="Times New Roman" w:eastAsia="宋体" w:cs="Times New Roman"/>
      <w:sz w:val="28"/>
      <w:szCs w:val="20"/>
    </w:rPr>
  </w:style>
  <w:style w:type="character" w:customStyle="1" w:styleId="151">
    <w:name w:val="标题 1 Char"/>
    <w:basedOn w:val="89"/>
    <w:autoRedefine/>
    <w:qFormat/>
    <w:uiPriority w:val="0"/>
    <w:rPr>
      <w:rFonts w:ascii="仿宋_GB2312" w:eastAsia="仿宋_GB2312"/>
      <w:b/>
      <w:kern w:val="2"/>
      <w:sz w:val="36"/>
      <w:szCs w:val="44"/>
      <w:lang w:val="en-US" w:eastAsia="zh-CN" w:bidi="ar-SA"/>
    </w:rPr>
  </w:style>
  <w:style w:type="character" w:customStyle="1" w:styleId="152">
    <w:name w:val="明显强调1"/>
    <w:autoRedefine/>
    <w:qFormat/>
    <w:uiPriority w:val="21"/>
    <w:rPr>
      <w:b/>
      <w:bCs/>
      <w:i/>
      <w:iCs/>
      <w:color w:val="2DA2BF"/>
    </w:rPr>
  </w:style>
  <w:style w:type="character" w:customStyle="1" w:styleId="153">
    <w:name w:val="Char Char4"/>
    <w:autoRedefine/>
    <w:qFormat/>
    <w:uiPriority w:val="0"/>
    <w:rPr>
      <w:rFonts w:eastAsia="宋体"/>
      <w:kern w:val="2"/>
      <w:sz w:val="21"/>
      <w:lang w:val="en-US" w:eastAsia="zh-CN"/>
    </w:rPr>
  </w:style>
  <w:style w:type="character" w:customStyle="1" w:styleId="154">
    <w:name w:val="标题 字符"/>
    <w:link w:val="83"/>
    <w:autoRedefine/>
    <w:qFormat/>
    <w:uiPriority w:val="10"/>
    <w:rPr>
      <w:rFonts w:ascii="Cambria" w:hAnsi="Cambria"/>
      <w:color w:val="343434"/>
      <w:spacing w:val="5"/>
      <w:kern w:val="28"/>
      <w:sz w:val="52"/>
      <w:szCs w:val="52"/>
    </w:rPr>
  </w:style>
  <w:style w:type="character" w:customStyle="1" w:styleId="155">
    <w:name w:val="表名，图名 Char"/>
    <w:link w:val="156"/>
    <w:autoRedefine/>
    <w:qFormat/>
    <w:uiPriority w:val="0"/>
    <w:rPr>
      <w:rFonts w:ascii="Times New Roman" w:hAnsi="Times New Roman" w:eastAsia="黑体"/>
      <w:color w:val="1F497D"/>
      <w:kern w:val="2"/>
      <w:sz w:val="21"/>
      <w:szCs w:val="21"/>
    </w:rPr>
  </w:style>
  <w:style w:type="paragraph" w:customStyle="1" w:styleId="156">
    <w:name w:val="表名，图名"/>
    <w:basedOn w:val="1"/>
    <w:link w:val="155"/>
    <w:autoRedefine/>
    <w:qFormat/>
    <w:uiPriority w:val="0"/>
    <w:pPr>
      <w:adjustRightInd/>
      <w:snapToGrid/>
      <w:jc w:val="center"/>
    </w:pPr>
    <w:rPr>
      <w:rFonts w:eastAsia="黑体"/>
      <w:color w:val="1F497D"/>
      <w:sz w:val="21"/>
      <w:szCs w:val="21"/>
    </w:rPr>
  </w:style>
  <w:style w:type="character" w:customStyle="1" w:styleId="157">
    <w:name w:val="样式1 Char"/>
    <w:link w:val="158"/>
    <w:autoRedefine/>
    <w:qFormat/>
    <w:uiPriority w:val="0"/>
    <w:rPr>
      <w:rFonts w:ascii="宋体" w:hAnsi="宋体"/>
      <w:kern w:val="2"/>
      <w:sz w:val="24"/>
      <w:szCs w:val="28"/>
    </w:rPr>
  </w:style>
  <w:style w:type="paragraph" w:customStyle="1" w:styleId="158">
    <w:name w:val="样式1"/>
    <w:basedOn w:val="1"/>
    <w:link w:val="157"/>
    <w:autoRedefine/>
    <w:qFormat/>
    <w:uiPriority w:val="0"/>
    <w:pPr>
      <w:adjustRightInd/>
      <w:snapToGrid/>
      <w:ind w:firstLine="560"/>
    </w:pPr>
    <w:rPr>
      <w:rFonts w:ascii="宋体" w:hAnsi="宋体"/>
      <w:szCs w:val="28"/>
    </w:rPr>
  </w:style>
  <w:style w:type="character" w:customStyle="1" w:styleId="159">
    <w:name w:val="Char Char19"/>
    <w:autoRedefine/>
    <w:qFormat/>
    <w:locked/>
    <w:uiPriority w:val="0"/>
    <w:rPr>
      <w:rFonts w:eastAsia="楷体_GB2312"/>
      <w:b/>
      <w:bCs/>
      <w:kern w:val="2"/>
      <w:sz w:val="28"/>
      <w:szCs w:val="24"/>
      <w:lang w:val="en-US" w:eastAsia="zh-CN" w:bidi="ar-SA"/>
    </w:rPr>
  </w:style>
  <w:style w:type="character" w:customStyle="1" w:styleId="160">
    <w:name w:val="样式 样式2 + 宋体 Char"/>
    <w:link w:val="161"/>
    <w:autoRedefine/>
    <w:qFormat/>
    <w:uiPriority w:val="0"/>
    <w:rPr>
      <w:rFonts w:ascii="宋体" w:hAnsi="宋体"/>
      <w:kern w:val="2"/>
      <w:sz w:val="28"/>
    </w:rPr>
  </w:style>
  <w:style w:type="paragraph" w:customStyle="1" w:styleId="161">
    <w:name w:val="样式 样式2 + 宋体"/>
    <w:basedOn w:val="162"/>
    <w:link w:val="160"/>
    <w:autoRedefine/>
    <w:qFormat/>
    <w:uiPriority w:val="0"/>
    <w:pPr>
      <w:widowControl/>
      <w:tabs>
        <w:tab w:val="center" w:pos="4153"/>
        <w:tab w:val="right" w:pos="8306"/>
      </w:tabs>
      <w:adjustRightInd/>
      <w:snapToGrid/>
      <w:spacing w:after="200"/>
      <w:ind w:firstLine="200"/>
      <w:jc w:val="left"/>
    </w:pPr>
    <w:rPr>
      <w:rFonts w:ascii="宋体" w:hAnsi="宋体"/>
      <w:sz w:val="28"/>
      <w:szCs w:val="20"/>
    </w:rPr>
  </w:style>
  <w:style w:type="paragraph" w:customStyle="1" w:styleId="162">
    <w:name w:val="样式2"/>
    <w:basedOn w:val="56"/>
    <w:link w:val="164"/>
    <w:autoRedefine/>
    <w:qFormat/>
    <w:uiPriority w:val="0"/>
    <w:pPr>
      <w:ind w:firstLine="360"/>
    </w:pPr>
    <w:rPr>
      <w:rFonts w:ascii="Times New Roman" w:hAnsi="Times New Roman"/>
    </w:rPr>
  </w:style>
  <w:style w:type="character" w:customStyle="1" w:styleId="163">
    <w:name w:val="页眉 字符"/>
    <w:link w:val="56"/>
    <w:autoRedefine/>
    <w:qFormat/>
    <w:uiPriority w:val="0"/>
    <w:rPr>
      <w:rFonts w:eastAsia="宋体"/>
      <w:kern w:val="2"/>
      <w:sz w:val="18"/>
      <w:szCs w:val="18"/>
      <w:lang w:val="en-US" w:eastAsia="zh-CN" w:bidi="ar-SA"/>
    </w:rPr>
  </w:style>
  <w:style w:type="character" w:customStyle="1" w:styleId="164">
    <w:name w:val="样式2 Char"/>
    <w:link w:val="162"/>
    <w:autoRedefine/>
    <w:qFormat/>
    <w:uiPriority w:val="0"/>
    <w:rPr>
      <w:rFonts w:ascii="Times New Roman" w:hAnsi="Times New Roman" w:eastAsia="宋体" w:cs="Times New Roman"/>
      <w:kern w:val="2"/>
      <w:sz w:val="18"/>
      <w:szCs w:val="18"/>
      <w:lang w:val="en-US" w:eastAsia="zh-CN" w:bidi="ar-SA"/>
    </w:rPr>
  </w:style>
  <w:style w:type="character" w:customStyle="1" w:styleId="165">
    <w:name w:val="Char Char17"/>
    <w:autoRedefine/>
    <w:qFormat/>
    <w:locked/>
    <w:uiPriority w:val="0"/>
    <w:rPr>
      <w:rFonts w:eastAsia="宋体"/>
      <w:b/>
      <w:bCs/>
      <w:kern w:val="2"/>
      <w:sz w:val="24"/>
      <w:szCs w:val="24"/>
      <w:lang w:val="en-US" w:eastAsia="zh-CN" w:bidi="ar-SA"/>
    </w:rPr>
  </w:style>
  <w:style w:type="character" w:customStyle="1" w:styleId="166">
    <w:name w:val="unnamed112"/>
    <w:autoRedefine/>
    <w:qFormat/>
    <w:uiPriority w:val="0"/>
    <w:rPr>
      <w:color w:val="000000"/>
      <w:sz w:val="18"/>
      <w:szCs w:val="18"/>
    </w:rPr>
  </w:style>
  <w:style w:type="character" w:customStyle="1" w:styleId="167">
    <w:name w:val="_正文格式 Char1"/>
    <w:basedOn w:val="89"/>
    <w:link w:val="168"/>
    <w:autoRedefine/>
    <w:qFormat/>
    <w:uiPriority w:val="0"/>
    <w:rPr>
      <w:rFonts w:eastAsia="仿宋_GB2312"/>
      <w:kern w:val="2"/>
      <w:sz w:val="28"/>
      <w:szCs w:val="24"/>
      <w:lang w:val="en-US" w:eastAsia="zh-CN" w:bidi="ar-SA"/>
    </w:rPr>
  </w:style>
  <w:style w:type="paragraph" w:customStyle="1" w:styleId="168">
    <w:name w:val="_正文格式"/>
    <w:basedOn w:val="1"/>
    <w:link w:val="167"/>
    <w:autoRedefine/>
    <w:qFormat/>
    <w:uiPriority w:val="0"/>
    <w:pPr>
      <w:adjustRightInd/>
      <w:snapToGrid/>
      <w:spacing w:line="560" w:lineRule="exact"/>
    </w:pPr>
    <w:rPr>
      <w:rFonts w:eastAsia="仿宋_GB2312"/>
      <w:sz w:val="28"/>
      <w:szCs w:val="24"/>
    </w:rPr>
  </w:style>
  <w:style w:type="character" w:customStyle="1" w:styleId="169">
    <w:name w:val="正文首行缩进 2 Char1"/>
    <w:autoRedefine/>
    <w:semiHidden/>
    <w:qFormat/>
    <w:uiPriority w:val="99"/>
    <w:rPr>
      <w:rFonts w:ascii="Times New Roman" w:hAnsi="Times New Roman" w:eastAsia="宋体" w:cs="Times New Roman"/>
      <w:kern w:val="2"/>
      <w:sz w:val="24"/>
      <w:szCs w:val="20"/>
    </w:rPr>
  </w:style>
  <w:style w:type="character" w:customStyle="1" w:styleId="170">
    <w:name w:val="正文文本 3 字符"/>
    <w:link w:val="30"/>
    <w:autoRedefine/>
    <w:qFormat/>
    <w:uiPriority w:val="0"/>
    <w:rPr>
      <w:rFonts w:ascii="Times New Roman" w:hAnsi="Times New Roman" w:eastAsia="宋体" w:cs="Times New Roman"/>
      <w:sz w:val="24"/>
      <w:szCs w:val="20"/>
    </w:rPr>
  </w:style>
  <w:style w:type="character" w:customStyle="1" w:styleId="171">
    <w:name w:val="纯文本 Char"/>
    <w:autoRedefine/>
    <w:qFormat/>
    <w:uiPriority w:val="0"/>
    <w:rPr>
      <w:rFonts w:ascii="宋体" w:hAnsi="Courier New" w:eastAsia="宋体"/>
      <w:kern w:val="2"/>
      <w:sz w:val="21"/>
      <w:szCs w:val="21"/>
      <w:lang w:val="en-US" w:eastAsia="zh-CN" w:bidi="ar-SA"/>
    </w:rPr>
  </w:style>
  <w:style w:type="character" w:customStyle="1" w:styleId="172">
    <w:name w:val="批注文字 字符"/>
    <w:link w:val="27"/>
    <w:autoRedefine/>
    <w:qFormat/>
    <w:uiPriority w:val="0"/>
    <w:rPr>
      <w:rFonts w:ascii="Times New Roman" w:hAnsi="Times New Roman" w:eastAsia="宋体" w:cs="Times New Roman"/>
      <w:sz w:val="28"/>
      <w:szCs w:val="24"/>
    </w:rPr>
  </w:style>
  <w:style w:type="character" w:customStyle="1" w:styleId="173">
    <w:name w:val="标题 2 Char Char Char1"/>
    <w:autoRedefine/>
    <w:qFormat/>
    <w:uiPriority w:val="0"/>
    <w:rPr>
      <w:rFonts w:ascii="Arial" w:hAnsi="Arial" w:eastAsia="黑体"/>
      <w:b/>
      <w:kern w:val="2"/>
      <w:sz w:val="30"/>
      <w:lang w:val="en-US" w:eastAsia="zh-CN"/>
    </w:rPr>
  </w:style>
  <w:style w:type="character" w:customStyle="1" w:styleId="174">
    <w:name w:val="样式 段 + 首行缩进:  2 字符 Char"/>
    <w:basedOn w:val="89"/>
    <w:link w:val="175"/>
    <w:autoRedefine/>
    <w:qFormat/>
    <w:uiPriority w:val="0"/>
    <w:rPr>
      <w:rFonts w:eastAsia="宋体" w:cs="宋体"/>
      <w:sz w:val="21"/>
      <w:szCs w:val="21"/>
      <w:lang w:val="en-US" w:eastAsia="zh-CN" w:bidi="ar-SA"/>
    </w:rPr>
  </w:style>
  <w:style w:type="paragraph" w:customStyle="1" w:styleId="175">
    <w:name w:val="样式 段 + 首行缩进:  2 字符"/>
    <w:basedOn w:val="1"/>
    <w:link w:val="174"/>
    <w:autoRedefine/>
    <w:qFormat/>
    <w:uiPriority w:val="0"/>
    <w:pPr>
      <w:widowControl/>
      <w:autoSpaceDE w:val="0"/>
      <w:autoSpaceDN w:val="0"/>
      <w:adjustRightInd/>
      <w:snapToGrid/>
      <w:spacing w:line="240" w:lineRule="auto"/>
      <w:ind w:firstLine="420"/>
    </w:pPr>
    <w:rPr>
      <w:rFonts w:cs="宋体"/>
      <w:kern w:val="0"/>
      <w:sz w:val="21"/>
      <w:szCs w:val="21"/>
    </w:rPr>
  </w:style>
  <w:style w:type="character" w:customStyle="1" w:styleId="176">
    <w:name w:val="Char Char25"/>
    <w:autoRedefine/>
    <w:qFormat/>
    <w:uiPriority w:val="0"/>
    <w:rPr>
      <w:rFonts w:hint="eastAsia" w:ascii="宋体" w:hAnsi="宋体" w:eastAsia="宋体"/>
      <w:b/>
      <w:kern w:val="44"/>
      <w:sz w:val="44"/>
      <w:lang w:val="en-US" w:eastAsia="zh-CN"/>
    </w:rPr>
  </w:style>
  <w:style w:type="character" w:customStyle="1" w:styleId="177">
    <w:name w:val="Char Char Char1"/>
    <w:autoRedefine/>
    <w:qFormat/>
    <w:uiPriority w:val="0"/>
    <w:rPr>
      <w:rFonts w:ascii="宋体" w:hAnsi="Courier New" w:eastAsia="宋体"/>
      <w:lang w:bidi="ar-SA"/>
    </w:rPr>
  </w:style>
  <w:style w:type="character" w:customStyle="1" w:styleId="178">
    <w:name w:val="_正文格式 Char2"/>
    <w:autoRedefine/>
    <w:qFormat/>
    <w:uiPriority w:val="0"/>
    <w:rPr>
      <w:rFonts w:eastAsia="仿宋_GB2312"/>
      <w:kern w:val="2"/>
      <w:sz w:val="28"/>
      <w:szCs w:val="24"/>
    </w:rPr>
  </w:style>
  <w:style w:type="character" w:customStyle="1" w:styleId="179">
    <w:name w:val="标题 3 Char1"/>
    <w:autoRedefine/>
    <w:qFormat/>
    <w:uiPriority w:val="0"/>
    <w:rPr>
      <w:rFonts w:eastAsia="宋体"/>
      <w:b/>
      <w:kern w:val="2"/>
      <w:sz w:val="32"/>
      <w:lang w:val="en-US" w:eastAsia="zh-CN" w:bidi="ar-SA"/>
    </w:rPr>
  </w:style>
  <w:style w:type="character" w:customStyle="1" w:styleId="180">
    <w:name w:val="纯文本 字符"/>
    <w:link w:val="44"/>
    <w:autoRedefine/>
    <w:qFormat/>
    <w:uiPriority w:val="0"/>
    <w:rPr>
      <w:rFonts w:ascii="宋体" w:hAnsi="Courier New" w:eastAsia="宋体" w:cs="Courier New"/>
      <w:szCs w:val="21"/>
    </w:rPr>
  </w:style>
  <w:style w:type="character" w:customStyle="1" w:styleId="181">
    <w:name w:val="Char Char18"/>
    <w:autoRedefine/>
    <w:qFormat/>
    <w:locked/>
    <w:uiPriority w:val="0"/>
    <w:rPr>
      <w:rFonts w:ascii="Arial" w:hAnsi="Arial" w:eastAsia="黑体"/>
      <w:b/>
      <w:bCs/>
      <w:kern w:val="2"/>
      <w:sz w:val="24"/>
      <w:szCs w:val="24"/>
      <w:lang w:val="en-US" w:eastAsia="zh-CN" w:bidi="ar-SA"/>
    </w:rPr>
  </w:style>
  <w:style w:type="character" w:customStyle="1" w:styleId="182">
    <w:name w:val="不明显强调1"/>
    <w:autoRedefine/>
    <w:qFormat/>
    <w:uiPriority w:val="19"/>
    <w:rPr>
      <w:i/>
      <w:iCs/>
      <w:color w:val="808080"/>
    </w:rPr>
  </w:style>
  <w:style w:type="character" w:customStyle="1" w:styleId="183">
    <w:name w:val="批注主题 字符"/>
    <w:link w:val="84"/>
    <w:autoRedefine/>
    <w:qFormat/>
    <w:uiPriority w:val="0"/>
    <w:rPr>
      <w:rFonts w:ascii="Times New Roman" w:hAnsi="Times New Roman" w:eastAsia="仿宋_GB2312" w:cs="Times New Roman"/>
      <w:b/>
      <w:bCs/>
      <w:color w:val="00B050"/>
      <w:kern w:val="2"/>
      <w:sz w:val="24"/>
      <w:szCs w:val="24"/>
    </w:rPr>
  </w:style>
  <w:style w:type="character" w:customStyle="1" w:styleId="184">
    <w:name w:val="H1 Char"/>
    <w:basedOn w:val="89"/>
    <w:autoRedefine/>
    <w:qFormat/>
    <w:uiPriority w:val="0"/>
    <w:rPr>
      <w:rFonts w:eastAsia="宋体"/>
      <w:b/>
      <w:bCs/>
      <w:kern w:val="44"/>
      <w:sz w:val="44"/>
      <w:szCs w:val="44"/>
      <w:lang w:val="en-US" w:eastAsia="zh-CN" w:bidi="ar-SA"/>
    </w:rPr>
  </w:style>
  <w:style w:type="character" w:customStyle="1" w:styleId="185">
    <w:name w:val="1208正文样式 Char1"/>
    <w:basedOn w:val="89"/>
    <w:link w:val="186"/>
    <w:autoRedefine/>
    <w:qFormat/>
    <w:uiPriority w:val="0"/>
    <w:rPr>
      <w:rFonts w:eastAsia="宋体"/>
      <w:snapToGrid w:val="0"/>
      <w:sz w:val="24"/>
      <w:lang w:val="en-US" w:eastAsia="zh-CN" w:bidi="ar-SA"/>
    </w:rPr>
  </w:style>
  <w:style w:type="paragraph" w:customStyle="1" w:styleId="186">
    <w:name w:val="1208正文样式"/>
    <w:basedOn w:val="1"/>
    <w:link w:val="185"/>
    <w:autoRedefine/>
    <w:qFormat/>
    <w:uiPriority w:val="0"/>
    <w:pPr>
      <w:ind w:firstLine="0" w:firstLineChars="0"/>
    </w:pPr>
    <w:rPr>
      <w:snapToGrid w:val="0"/>
      <w:kern w:val="0"/>
    </w:rPr>
  </w:style>
  <w:style w:type="character" w:customStyle="1" w:styleId="187">
    <w:name w:val="章标题 Char"/>
    <w:basedOn w:val="89"/>
    <w:link w:val="188"/>
    <w:autoRedefine/>
    <w:qFormat/>
    <w:uiPriority w:val="0"/>
    <w:rPr>
      <w:rFonts w:ascii="黑体" w:hAnsi="Times New Roman" w:eastAsia="黑体"/>
      <w:sz w:val="21"/>
      <w:lang w:val="en-US" w:eastAsia="zh-CN" w:bidi="ar-SA"/>
    </w:rPr>
  </w:style>
  <w:style w:type="paragraph" w:customStyle="1" w:styleId="188">
    <w:name w:val="章标题"/>
    <w:next w:val="189"/>
    <w:link w:val="187"/>
    <w:autoRedefine/>
    <w:qFormat/>
    <w:uiPriority w:val="0"/>
    <w:pPr>
      <w:spacing w:beforeLines="100" w:afterLines="100"/>
      <w:jc w:val="both"/>
      <w:outlineLvl w:val="1"/>
    </w:pPr>
    <w:rPr>
      <w:rFonts w:ascii="黑体" w:hAnsi="Times New Roman" w:eastAsia="黑体" w:cs="Times New Roman"/>
      <w:sz w:val="21"/>
      <w:lang w:val="en-US" w:eastAsia="zh-CN" w:bidi="ar-SA"/>
    </w:rPr>
  </w:style>
  <w:style w:type="paragraph" w:customStyle="1" w:styleId="189">
    <w:name w:val="段"/>
    <w:link w:val="190"/>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190">
    <w:name w:val="段 Char"/>
    <w:link w:val="189"/>
    <w:autoRedefine/>
    <w:qFormat/>
    <w:uiPriority w:val="0"/>
    <w:rPr>
      <w:rFonts w:ascii="宋体" w:hAnsi="Times New Roman"/>
      <w:sz w:val="21"/>
      <w:lang w:val="en-US" w:eastAsia="zh-CN" w:bidi="ar-SA"/>
    </w:rPr>
  </w:style>
  <w:style w:type="character" w:customStyle="1" w:styleId="191">
    <w:name w:val="grame"/>
    <w:basedOn w:val="89"/>
    <w:autoRedefine/>
    <w:qFormat/>
    <w:uiPriority w:val="0"/>
  </w:style>
  <w:style w:type="character" w:customStyle="1" w:styleId="192">
    <w:name w:val="Plain Text Char Char"/>
    <w:autoRedefine/>
    <w:qFormat/>
    <w:uiPriority w:val="0"/>
    <w:rPr>
      <w:rFonts w:eastAsia="仿宋_GB2312"/>
      <w:kern w:val="2"/>
      <w:sz w:val="28"/>
    </w:rPr>
  </w:style>
  <w:style w:type="character" w:customStyle="1" w:styleId="193">
    <w:name w:val="副标题 Char1"/>
    <w:autoRedefine/>
    <w:qFormat/>
    <w:uiPriority w:val="11"/>
    <w:rPr>
      <w:rFonts w:ascii="Cambria" w:hAnsi="Cambria" w:cs="Times New Roman"/>
      <w:b/>
      <w:bCs/>
      <w:kern w:val="28"/>
      <w:sz w:val="32"/>
      <w:szCs w:val="32"/>
    </w:rPr>
  </w:style>
  <w:style w:type="character" w:customStyle="1" w:styleId="194">
    <w:name w:val="样式 样式 样式 (符号) 宋体 四号 行距: 1.5 倍行距 + 首行缩进:  2 字符 + 宋体 Char"/>
    <w:basedOn w:val="195"/>
    <w:link w:val="197"/>
    <w:autoRedefine/>
    <w:qFormat/>
    <w:uiPriority w:val="0"/>
    <w:rPr>
      <w:rFonts w:ascii="宋体" w:hAnsi="宋体" w:eastAsia="宋体" w:cs="宋体"/>
      <w:kern w:val="2"/>
      <w:sz w:val="28"/>
      <w:lang w:val="en-US" w:eastAsia="zh-CN" w:bidi="ar-SA"/>
    </w:rPr>
  </w:style>
  <w:style w:type="character" w:customStyle="1" w:styleId="195">
    <w:name w:val="样式 样式 (符号) 宋体 四号 行距: 1.5 倍行距 + 首行缩进:  2 字符 Char"/>
    <w:basedOn w:val="89"/>
    <w:link w:val="196"/>
    <w:autoRedefine/>
    <w:qFormat/>
    <w:uiPriority w:val="0"/>
    <w:rPr>
      <w:rFonts w:hAnsi="宋体" w:eastAsia="宋体" w:cs="宋体"/>
      <w:kern w:val="2"/>
      <w:sz w:val="28"/>
      <w:lang w:val="en-US" w:eastAsia="zh-CN" w:bidi="ar-SA"/>
    </w:rPr>
  </w:style>
  <w:style w:type="paragraph" w:customStyle="1" w:styleId="196">
    <w:name w:val="样式 样式 (符号) 宋体 四号 行距: 1.5 倍行距 + 首行缩进:  2 字符"/>
    <w:basedOn w:val="1"/>
    <w:link w:val="195"/>
    <w:autoRedefine/>
    <w:qFormat/>
    <w:uiPriority w:val="0"/>
    <w:pPr>
      <w:adjustRightInd/>
      <w:snapToGrid/>
      <w:ind w:firstLine="480"/>
    </w:pPr>
    <w:rPr>
      <w:rFonts w:hAnsi="宋体" w:cs="宋体"/>
      <w:sz w:val="28"/>
    </w:rPr>
  </w:style>
  <w:style w:type="paragraph" w:customStyle="1" w:styleId="197">
    <w:name w:val="样式 样式 样式 (符号) 宋体 四号 行距: 1.5 倍行距 + 首行缩进:  2 字符 + 宋体"/>
    <w:basedOn w:val="196"/>
    <w:link w:val="194"/>
    <w:autoRedefine/>
    <w:qFormat/>
    <w:uiPriority w:val="0"/>
    <w:rPr>
      <w:rFonts w:ascii="宋体"/>
    </w:rPr>
  </w:style>
  <w:style w:type="character" w:customStyle="1" w:styleId="198">
    <w:name w:val="Char Char14"/>
    <w:basedOn w:val="89"/>
    <w:autoRedefine/>
    <w:qFormat/>
    <w:locked/>
    <w:uiPriority w:val="0"/>
    <w:rPr>
      <w:rFonts w:ascii="Arial" w:hAnsi="Arial" w:eastAsia="黑体"/>
      <w:b/>
      <w:bCs/>
      <w:kern w:val="2"/>
      <w:sz w:val="32"/>
      <w:szCs w:val="32"/>
      <w:lang w:val="en-US" w:eastAsia="zh-CN" w:bidi="ar-SA"/>
    </w:rPr>
  </w:style>
  <w:style w:type="character" w:customStyle="1" w:styleId="199">
    <w:name w:val="text11"/>
    <w:basedOn w:val="89"/>
    <w:autoRedefine/>
    <w:qFormat/>
    <w:uiPriority w:val="0"/>
    <w:rPr>
      <w:sz w:val="23"/>
      <w:szCs w:val="23"/>
    </w:rPr>
  </w:style>
  <w:style w:type="character" w:customStyle="1" w:styleId="200">
    <w:name w:val="Char Char20"/>
    <w:autoRedefine/>
    <w:qFormat/>
    <w:uiPriority w:val="0"/>
    <w:rPr>
      <w:rFonts w:hint="default" w:ascii="Arial" w:hAnsi="Arial" w:eastAsia="仿宋_GB2312" w:cs="Arial"/>
      <w:b/>
      <w:kern w:val="2"/>
      <w:sz w:val="28"/>
      <w:lang w:val="en-US" w:eastAsia="zh-CN"/>
    </w:rPr>
  </w:style>
  <w:style w:type="character" w:customStyle="1" w:styleId="201">
    <w:name w:val="样式3 Char"/>
    <w:link w:val="202"/>
    <w:autoRedefine/>
    <w:qFormat/>
    <w:uiPriority w:val="0"/>
    <w:rPr>
      <w:rFonts w:ascii="Times New Roman" w:hAnsi="Times New Roman" w:eastAsia="宋体"/>
      <w:kern w:val="2"/>
      <w:sz w:val="18"/>
      <w:szCs w:val="18"/>
      <w:lang w:val="en-US" w:eastAsia="zh-CN" w:bidi="ar-SA"/>
    </w:rPr>
  </w:style>
  <w:style w:type="paragraph" w:customStyle="1" w:styleId="202">
    <w:name w:val="样式3"/>
    <w:basedOn w:val="56"/>
    <w:link w:val="201"/>
    <w:autoRedefine/>
    <w:qFormat/>
    <w:uiPriority w:val="0"/>
    <w:pPr>
      <w:ind w:firstLine="360"/>
    </w:pPr>
    <w:rPr>
      <w:rFonts w:ascii="Times New Roman" w:hAnsi="Times New Roman"/>
    </w:rPr>
  </w:style>
  <w:style w:type="character" w:customStyle="1" w:styleId="203">
    <w:name w:val="正文文本缩进 3 字符"/>
    <w:link w:val="69"/>
    <w:autoRedefine/>
    <w:qFormat/>
    <w:uiPriority w:val="0"/>
    <w:rPr>
      <w:rFonts w:ascii="宋体" w:hAnsi="宋体" w:eastAsia="宋体" w:cs="Times New Roman"/>
      <w:sz w:val="28"/>
      <w:szCs w:val="20"/>
    </w:rPr>
  </w:style>
  <w:style w:type="character" w:customStyle="1" w:styleId="204">
    <w:name w:val="样式 Arial"/>
    <w:basedOn w:val="89"/>
    <w:autoRedefine/>
    <w:qFormat/>
    <w:uiPriority w:val="0"/>
    <w:rPr>
      <w:rFonts w:ascii="Arial" w:hAnsi="Arial"/>
      <w:caps/>
    </w:rPr>
  </w:style>
  <w:style w:type="character" w:customStyle="1" w:styleId="205">
    <w:name w:val="样式 四号"/>
    <w:basedOn w:val="89"/>
    <w:autoRedefine/>
    <w:qFormat/>
    <w:uiPriority w:val="0"/>
  </w:style>
  <w:style w:type="character" w:customStyle="1" w:styleId="206">
    <w:name w:val="正文首行缩进 Char1"/>
    <w:autoRedefine/>
    <w:semiHidden/>
    <w:qFormat/>
    <w:uiPriority w:val="99"/>
    <w:rPr>
      <w:rFonts w:ascii="Times New Roman" w:hAnsi="Times New Roman" w:eastAsia="宋体"/>
      <w:kern w:val="2"/>
      <w:sz w:val="24"/>
    </w:rPr>
  </w:style>
  <w:style w:type="character" w:customStyle="1" w:styleId="207">
    <w:name w:val="表格 新规 Char"/>
    <w:link w:val="208"/>
    <w:autoRedefine/>
    <w:qFormat/>
    <w:uiPriority w:val="0"/>
    <w:rPr>
      <w:rFonts w:ascii="Times New Roman" w:hAnsi="Times New Roman" w:eastAsia="仿宋_GB2312"/>
      <w:kern w:val="2"/>
      <w:sz w:val="21"/>
      <w:szCs w:val="21"/>
    </w:rPr>
  </w:style>
  <w:style w:type="paragraph" w:customStyle="1" w:styleId="208">
    <w:name w:val="表格 新规"/>
    <w:basedOn w:val="1"/>
    <w:link w:val="207"/>
    <w:autoRedefine/>
    <w:qFormat/>
    <w:uiPriority w:val="0"/>
    <w:pPr>
      <w:jc w:val="center"/>
    </w:pPr>
    <w:rPr>
      <w:rFonts w:eastAsia="仿宋_GB2312"/>
      <w:sz w:val="21"/>
      <w:szCs w:val="21"/>
    </w:rPr>
  </w:style>
  <w:style w:type="character" w:customStyle="1" w:styleId="209">
    <w:name w:val="MB3 Char"/>
    <w:basedOn w:val="89"/>
    <w:autoRedefine/>
    <w:qFormat/>
    <w:uiPriority w:val="0"/>
    <w:rPr>
      <w:rFonts w:eastAsia="宋体"/>
      <w:b/>
      <w:bCs/>
      <w:kern w:val="2"/>
      <w:sz w:val="32"/>
      <w:szCs w:val="32"/>
      <w:lang w:val="en-US" w:eastAsia="zh-CN" w:bidi="ar-SA"/>
    </w:rPr>
  </w:style>
  <w:style w:type="character" w:customStyle="1" w:styleId="210">
    <w:name w:val="纯文本 Char2"/>
    <w:link w:val="211"/>
    <w:autoRedefine/>
    <w:qFormat/>
    <w:uiPriority w:val="0"/>
    <w:rPr>
      <w:rFonts w:ascii="宋体" w:hAnsi="Courier New"/>
      <w:kern w:val="2"/>
      <w:sz w:val="21"/>
    </w:rPr>
  </w:style>
  <w:style w:type="paragraph" w:customStyle="1" w:styleId="211">
    <w:name w:val="纯文本1"/>
    <w:basedOn w:val="1"/>
    <w:link w:val="210"/>
    <w:autoRedefine/>
    <w:qFormat/>
    <w:uiPriority w:val="0"/>
    <w:pPr>
      <w:adjustRightInd/>
      <w:snapToGrid/>
    </w:pPr>
    <w:rPr>
      <w:rFonts w:ascii="宋体" w:hAnsi="Courier New"/>
      <w:sz w:val="21"/>
    </w:rPr>
  </w:style>
  <w:style w:type="character" w:customStyle="1" w:styleId="212">
    <w:name w:val="Char Char21"/>
    <w:autoRedefine/>
    <w:qFormat/>
    <w:locked/>
    <w:uiPriority w:val="0"/>
    <w:rPr>
      <w:rFonts w:eastAsia="宋体"/>
      <w:b/>
      <w:bCs/>
      <w:kern w:val="2"/>
      <w:sz w:val="32"/>
      <w:szCs w:val="32"/>
      <w:lang w:val="en-US" w:eastAsia="zh-CN" w:bidi="ar-SA"/>
    </w:rPr>
  </w:style>
  <w:style w:type="character" w:customStyle="1" w:styleId="213">
    <w:name w:val="样式6 Char"/>
    <w:link w:val="214"/>
    <w:autoRedefine/>
    <w:qFormat/>
    <w:uiPriority w:val="0"/>
    <w:rPr>
      <w:rFonts w:ascii="Times New Roman" w:hAnsi="Times New Roman" w:eastAsia="宋体"/>
      <w:kern w:val="2"/>
      <w:sz w:val="18"/>
      <w:szCs w:val="18"/>
      <w:lang w:val="en-US" w:eastAsia="zh-CN" w:bidi="ar-SA"/>
    </w:rPr>
  </w:style>
  <w:style w:type="paragraph" w:customStyle="1" w:styleId="214">
    <w:name w:val="样式6"/>
    <w:basedOn w:val="56"/>
    <w:link w:val="213"/>
    <w:autoRedefine/>
    <w:qFormat/>
    <w:uiPriority w:val="0"/>
    <w:pPr>
      <w:ind w:firstLine="360"/>
    </w:pPr>
    <w:rPr>
      <w:rFonts w:ascii="Times New Roman" w:hAnsi="Times New Roman"/>
    </w:rPr>
  </w:style>
  <w:style w:type="character" w:customStyle="1" w:styleId="215">
    <w:name w:val="main Char Char"/>
    <w:link w:val="216"/>
    <w:autoRedefine/>
    <w:qFormat/>
    <w:uiPriority w:val="0"/>
    <w:rPr>
      <w:rFonts w:eastAsia="宋体"/>
      <w:bCs/>
      <w:sz w:val="28"/>
      <w:szCs w:val="28"/>
    </w:rPr>
  </w:style>
  <w:style w:type="paragraph" w:customStyle="1" w:styleId="216">
    <w:name w:val="main"/>
    <w:basedOn w:val="1"/>
    <w:link w:val="215"/>
    <w:autoRedefine/>
    <w:qFormat/>
    <w:uiPriority w:val="0"/>
    <w:pPr>
      <w:adjustRightInd/>
      <w:snapToGrid/>
    </w:pPr>
    <w:rPr>
      <w:rFonts w:ascii="Calibri" w:hAnsi="Calibri"/>
      <w:bCs/>
      <w:kern w:val="0"/>
      <w:sz w:val="28"/>
      <w:szCs w:val="28"/>
    </w:rPr>
  </w:style>
  <w:style w:type="character" w:customStyle="1" w:styleId="217">
    <w:name w:val="副标题 字符"/>
    <w:link w:val="63"/>
    <w:autoRedefine/>
    <w:qFormat/>
    <w:uiPriority w:val="11"/>
    <w:rPr>
      <w:rFonts w:ascii="Cambria" w:hAnsi="Cambria"/>
      <w:i/>
      <w:iCs/>
      <w:color w:val="2DA2BF"/>
      <w:spacing w:val="15"/>
      <w:sz w:val="24"/>
      <w:szCs w:val="24"/>
    </w:rPr>
  </w:style>
  <w:style w:type="character" w:customStyle="1" w:styleId="218">
    <w:name w:val="表格文字 Char"/>
    <w:basedOn w:val="89"/>
    <w:link w:val="219"/>
    <w:autoRedefine/>
    <w:qFormat/>
    <w:uiPriority w:val="0"/>
    <w:rPr>
      <w:rFonts w:ascii="宋体" w:hAnsi="宋体" w:eastAsia="宋体"/>
      <w:kern w:val="2"/>
      <w:sz w:val="21"/>
      <w:szCs w:val="21"/>
      <w:lang w:val="en-US" w:eastAsia="zh-CN" w:bidi="ar-SA"/>
    </w:rPr>
  </w:style>
  <w:style w:type="paragraph" w:customStyle="1" w:styleId="219">
    <w:name w:val="表格文字"/>
    <w:basedOn w:val="1"/>
    <w:next w:val="1"/>
    <w:link w:val="218"/>
    <w:autoRedefine/>
    <w:qFormat/>
    <w:uiPriority w:val="0"/>
    <w:pPr>
      <w:adjustRightInd/>
      <w:snapToGrid/>
      <w:spacing w:line="240" w:lineRule="auto"/>
      <w:ind w:firstLine="0" w:firstLineChars="0"/>
      <w:jc w:val="center"/>
    </w:pPr>
    <w:rPr>
      <w:rFonts w:ascii="宋体" w:hAnsi="宋体"/>
      <w:sz w:val="21"/>
      <w:szCs w:val="21"/>
    </w:rPr>
  </w:style>
  <w:style w:type="character" w:customStyle="1" w:styleId="220">
    <w:name w:val="字紧0.4 Char Char"/>
    <w:basedOn w:val="89"/>
    <w:autoRedefine/>
    <w:qFormat/>
    <w:uiPriority w:val="0"/>
    <w:rPr>
      <w:rFonts w:ascii="宋体" w:hAnsi="宋体" w:eastAsia="宋体" w:cs="宋体"/>
      <w:bCs/>
      <w:snapToGrid w:val="0"/>
      <w:color w:val="000000"/>
      <w:spacing w:val="-8"/>
      <w:kern w:val="2"/>
      <w:sz w:val="28"/>
      <w:szCs w:val="28"/>
      <w:lang w:val="en-US" w:eastAsia="zh-CN" w:bidi="ar-SA"/>
    </w:rPr>
  </w:style>
  <w:style w:type="character" w:customStyle="1" w:styleId="221">
    <w:name w:val="样式4 Char"/>
    <w:link w:val="222"/>
    <w:autoRedefine/>
    <w:qFormat/>
    <w:uiPriority w:val="0"/>
    <w:rPr>
      <w:rFonts w:ascii="Times New Roman" w:hAnsi="Times New Roman" w:eastAsia="宋体"/>
      <w:kern w:val="2"/>
      <w:sz w:val="18"/>
      <w:szCs w:val="18"/>
      <w:lang w:val="en-US" w:eastAsia="zh-CN" w:bidi="ar-SA"/>
    </w:rPr>
  </w:style>
  <w:style w:type="paragraph" w:customStyle="1" w:styleId="222">
    <w:name w:val="样式4"/>
    <w:basedOn w:val="56"/>
    <w:link w:val="221"/>
    <w:autoRedefine/>
    <w:qFormat/>
    <w:uiPriority w:val="0"/>
    <w:pPr>
      <w:ind w:firstLine="360"/>
    </w:pPr>
    <w:rPr>
      <w:rFonts w:ascii="Times New Roman" w:hAnsi="Times New Roman"/>
    </w:rPr>
  </w:style>
  <w:style w:type="character" w:customStyle="1" w:styleId="223">
    <w:name w:val="正文文本 2 字符"/>
    <w:link w:val="75"/>
    <w:autoRedefine/>
    <w:qFormat/>
    <w:uiPriority w:val="0"/>
    <w:rPr>
      <w:rFonts w:ascii="Times New Roman" w:hAnsi="Times New Roman" w:eastAsia="宋体" w:cs="Times New Roman"/>
      <w:szCs w:val="20"/>
    </w:rPr>
  </w:style>
  <w:style w:type="character" w:customStyle="1" w:styleId="224">
    <w:name w:val="Char Char7"/>
    <w:basedOn w:val="89"/>
    <w:autoRedefine/>
    <w:qFormat/>
    <w:locked/>
    <w:uiPriority w:val="0"/>
    <w:rPr>
      <w:rFonts w:ascii="Arial" w:hAnsi="Arial" w:eastAsia="宋体" w:cs="Arial"/>
      <w:b/>
      <w:bCs/>
      <w:kern w:val="28"/>
      <w:sz w:val="32"/>
      <w:szCs w:val="32"/>
      <w:lang w:val="en-US" w:eastAsia="zh-CN" w:bidi="ar-SA"/>
    </w:rPr>
  </w:style>
  <w:style w:type="character" w:customStyle="1" w:styleId="225">
    <w:name w:val="样式 Arial 黑色"/>
    <w:basedOn w:val="89"/>
    <w:autoRedefine/>
    <w:qFormat/>
    <w:uiPriority w:val="0"/>
    <w:rPr>
      <w:rFonts w:ascii="Arial" w:hAnsi="Arial"/>
      <w:caps/>
      <w:color w:val="000000"/>
    </w:rPr>
  </w:style>
  <w:style w:type="character" w:customStyle="1" w:styleId="226">
    <w:name w:val="正文文本首行缩进 字符"/>
    <w:link w:val="85"/>
    <w:autoRedefine/>
    <w:qFormat/>
    <w:uiPriority w:val="0"/>
    <w:rPr>
      <w:kern w:val="2"/>
      <w:sz w:val="21"/>
    </w:rPr>
  </w:style>
  <w:style w:type="character" w:customStyle="1" w:styleId="227">
    <w:name w:val="正文文本 字符"/>
    <w:link w:val="33"/>
    <w:autoRedefine/>
    <w:qFormat/>
    <w:uiPriority w:val="0"/>
    <w:rPr>
      <w:rFonts w:eastAsia="宋体"/>
      <w:sz w:val="28"/>
    </w:rPr>
  </w:style>
  <w:style w:type="character" w:customStyle="1" w:styleId="228">
    <w:name w:val="1 Char"/>
    <w:autoRedefine/>
    <w:qFormat/>
    <w:uiPriority w:val="0"/>
    <w:rPr>
      <w:rFonts w:eastAsia="宋体"/>
      <w:kern w:val="2"/>
      <w:sz w:val="28"/>
      <w:lang w:val="en-US" w:eastAsia="zh-CN"/>
    </w:rPr>
  </w:style>
  <w:style w:type="character" w:customStyle="1" w:styleId="229">
    <w:name w:val="标题3 Char"/>
    <w:autoRedefine/>
    <w:qFormat/>
    <w:uiPriority w:val="0"/>
    <w:rPr>
      <w:rFonts w:ascii="宋体" w:hAnsi="宋体" w:eastAsia="宋体"/>
      <w:kern w:val="2"/>
      <w:sz w:val="24"/>
      <w:lang w:val="en-US" w:eastAsia="zh-CN"/>
    </w:rPr>
  </w:style>
  <w:style w:type="character" w:customStyle="1" w:styleId="230">
    <w:name w:val="内容1 Char"/>
    <w:basedOn w:val="89"/>
    <w:link w:val="231"/>
    <w:autoRedefine/>
    <w:qFormat/>
    <w:uiPriority w:val="0"/>
    <w:rPr>
      <w:rFonts w:ascii="宋体" w:eastAsia="宋体" w:cs="宋体"/>
      <w:color w:val="000000"/>
      <w:kern w:val="2"/>
      <w:sz w:val="28"/>
      <w:lang w:val="en-US" w:eastAsia="zh-CN" w:bidi="ar-SA"/>
    </w:rPr>
  </w:style>
  <w:style w:type="paragraph" w:customStyle="1" w:styleId="231">
    <w:name w:val="内容1"/>
    <w:basedOn w:val="1"/>
    <w:link w:val="230"/>
    <w:autoRedefine/>
    <w:qFormat/>
    <w:uiPriority w:val="0"/>
    <w:pPr>
      <w:adjustRightInd/>
      <w:snapToGrid/>
      <w:spacing w:line="540" w:lineRule="exact"/>
      <w:ind w:firstLine="560"/>
    </w:pPr>
    <w:rPr>
      <w:rFonts w:ascii="宋体" w:cs="宋体"/>
      <w:color w:val="000000"/>
      <w:sz w:val="28"/>
    </w:rPr>
  </w:style>
  <w:style w:type="character" w:customStyle="1" w:styleId="232">
    <w:name w:val="表格标题 Char"/>
    <w:link w:val="233"/>
    <w:autoRedefine/>
    <w:qFormat/>
    <w:uiPriority w:val="0"/>
    <w:rPr>
      <w:rFonts w:ascii="Times New Roman" w:hAnsi="Times New Roman" w:eastAsia="黑体"/>
      <w:kern w:val="2"/>
      <w:sz w:val="21"/>
      <w:szCs w:val="21"/>
    </w:rPr>
  </w:style>
  <w:style w:type="paragraph" w:customStyle="1" w:styleId="233">
    <w:name w:val="表格标题"/>
    <w:basedOn w:val="234"/>
    <w:link w:val="232"/>
    <w:autoRedefine/>
    <w:qFormat/>
    <w:uiPriority w:val="0"/>
    <w:pPr>
      <w:ind w:firstLine="0" w:firstLineChars="0"/>
      <w:jc w:val="center"/>
    </w:pPr>
    <w:rPr>
      <w:rFonts w:eastAsia="黑体"/>
      <w:sz w:val="21"/>
      <w:szCs w:val="21"/>
    </w:rPr>
  </w:style>
  <w:style w:type="paragraph" w:customStyle="1" w:styleId="234">
    <w:name w:val="正文1"/>
    <w:basedOn w:val="1"/>
    <w:link w:val="235"/>
    <w:autoRedefine/>
    <w:qFormat/>
    <w:uiPriority w:val="0"/>
    <w:pPr>
      <w:adjustRightInd/>
      <w:snapToGrid/>
    </w:pPr>
    <w:rPr>
      <w:rFonts w:eastAsia="仿宋_GB2312"/>
      <w:szCs w:val="24"/>
    </w:rPr>
  </w:style>
  <w:style w:type="character" w:customStyle="1" w:styleId="235">
    <w:name w:val="正文 Char"/>
    <w:link w:val="234"/>
    <w:autoRedefine/>
    <w:qFormat/>
    <w:uiPriority w:val="0"/>
    <w:rPr>
      <w:rFonts w:ascii="Times New Roman" w:hAnsi="Times New Roman" w:eastAsia="仿宋_GB2312"/>
      <w:kern w:val="2"/>
      <w:sz w:val="24"/>
      <w:szCs w:val="24"/>
    </w:rPr>
  </w:style>
  <w:style w:type="character" w:customStyle="1" w:styleId="236">
    <w:name w:val="Char Char9"/>
    <w:basedOn w:val="89"/>
    <w:autoRedefine/>
    <w:qFormat/>
    <w:locked/>
    <w:uiPriority w:val="0"/>
    <w:rPr>
      <w:rFonts w:ascii="宋体" w:hAnsi="宋体" w:eastAsia="宋体"/>
      <w:kern w:val="2"/>
      <w:sz w:val="28"/>
      <w:szCs w:val="28"/>
      <w:lang w:val="en-US" w:eastAsia="zh-CN" w:bidi="ar-SA"/>
    </w:rPr>
  </w:style>
  <w:style w:type="character" w:customStyle="1" w:styleId="237">
    <w:name w:val="标题 4 Char Char Char"/>
    <w:basedOn w:val="89"/>
    <w:autoRedefine/>
    <w:qFormat/>
    <w:uiPriority w:val="0"/>
    <w:rPr>
      <w:rFonts w:ascii="Arial" w:hAnsi="Arial" w:eastAsia="黑体"/>
      <w:b/>
      <w:bCs/>
      <w:kern w:val="2"/>
      <w:sz w:val="28"/>
      <w:szCs w:val="28"/>
      <w:lang w:val="en-US" w:eastAsia="zh-CN" w:bidi="ar-SA"/>
    </w:rPr>
  </w:style>
  <w:style w:type="character" w:customStyle="1" w:styleId="238">
    <w:name w:val="Char Char1"/>
    <w:autoRedefine/>
    <w:qFormat/>
    <w:uiPriority w:val="0"/>
    <w:rPr>
      <w:rFonts w:ascii="宋体" w:hAnsi="Courier New" w:eastAsia="宋体"/>
      <w:kern w:val="2"/>
      <w:sz w:val="21"/>
      <w:szCs w:val="21"/>
      <w:lang w:val="en-US" w:eastAsia="zh-CN" w:bidi="ar-SA"/>
    </w:rPr>
  </w:style>
  <w:style w:type="character" w:customStyle="1" w:styleId="239">
    <w:name w:val="标题 1 Char Char"/>
    <w:basedOn w:val="89"/>
    <w:autoRedefine/>
    <w:qFormat/>
    <w:uiPriority w:val="0"/>
    <w:rPr>
      <w:rFonts w:ascii="仿宋_GB2312" w:eastAsia="仿宋_GB2312"/>
      <w:b/>
      <w:kern w:val="2"/>
      <w:sz w:val="36"/>
      <w:szCs w:val="44"/>
      <w:lang w:val="en-US" w:eastAsia="zh-CN" w:bidi="ar-SA"/>
    </w:rPr>
  </w:style>
  <w:style w:type="character" w:customStyle="1" w:styleId="240">
    <w:name w:val="ca-0"/>
    <w:basedOn w:val="89"/>
    <w:autoRedefine/>
    <w:qFormat/>
    <w:uiPriority w:val="0"/>
  </w:style>
  <w:style w:type="character" w:customStyle="1" w:styleId="241">
    <w:name w:val="正文20110806 Char"/>
    <w:link w:val="242"/>
    <w:autoRedefine/>
    <w:qFormat/>
    <w:uiPriority w:val="0"/>
    <w:rPr>
      <w:rFonts w:ascii="Times New Roman" w:hAnsi="Times New Roman" w:eastAsia="仿宋_GB2312"/>
      <w:color w:val="000000"/>
      <w:kern w:val="28"/>
      <w:sz w:val="24"/>
      <w:u w:color="000000"/>
      <w:lang w:val="en-GB"/>
    </w:rPr>
  </w:style>
  <w:style w:type="paragraph" w:customStyle="1" w:styleId="242">
    <w:name w:val="正文20110806"/>
    <w:basedOn w:val="1"/>
    <w:next w:val="1"/>
    <w:link w:val="241"/>
    <w:autoRedefine/>
    <w:qFormat/>
    <w:uiPriority w:val="0"/>
    <w:pPr>
      <w:adjustRightInd/>
      <w:snapToGrid/>
    </w:pPr>
    <w:rPr>
      <w:rFonts w:eastAsia="仿宋_GB2312"/>
      <w:color w:val="000000"/>
      <w:kern w:val="28"/>
      <w:u w:color="000000"/>
      <w:lang w:val="en-GB"/>
    </w:rPr>
  </w:style>
  <w:style w:type="character" w:customStyle="1" w:styleId="243">
    <w:name w:val="Char Char6"/>
    <w:basedOn w:val="89"/>
    <w:autoRedefine/>
    <w:qFormat/>
    <w:locked/>
    <w:uiPriority w:val="0"/>
    <w:rPr>
      <w:rFonts w:ascii="宋体" w:hAnsi="宋体" w:eastAsia="宋体"/>
      <w:kern w:val="2"/>
      <w:sz w:val="28"/>
      <w:szCs w:val="28"/>
      <w:lang w:val="en-US" w:eastAsia="zh-CN" w:bidi="ar-SA"/>
    </w:rPr>
  </w:style>
  <w:style w:type="character" w:customStyle="1" w:styleId="244">
    <w:name w:val="字紧0.5"/>
    <w:basedOn w:val="89"/>
    <w:autoRedefine/>
    <w:qFormat/>
    <w:uiPriority w:val="0"/>
    <w:rPr>
      <w:rFonts w:ascii="宋体" w:hAnsi="宋体" w:eastAsia="宋体"/>
      <w:snapToGrid w:val="0"/>
      <w:spacing w:val="-10"/>
      <w:sz w:val="28"/>
      <w:szCs w:val="28"/>
      <w:lang w:val="en-US" w:eastAsia="zh-CN" w:bidi="ar-SA"/>
    </w:rPr>
  </w:style>
  <w:style w:type="character" w:customStyle="1" w:styleId="245">
    <w:name w:val="Char Char12"/>
    <w:basedOn w:val="89"/>
    <w:autoRedefine/>
    <w:qFormat/>
    <w:locked/>
    <w:uiPriority w:val="0"/>
    <w:rPr>
      <w:rFonts w:ascii="宋体" w:hAnsi="宋体" w:eastAsia="宋体"/>
      <w:kern w:val="2"/>
      <w:sz w:val="21"/>
      <w:szCs w:val="24"/>
      <w:lang w:val="en-US" w:eastAsia="zh-CN" w:bidi="ar-SA"/>
    </w:rPr>
  </w:style>
  <w:style w:type="character" w:customStyle="1" w:styleId="246">
    <w:name w:val="日期 字符"/>
    <w:link w:val="49"/>
    <w:autoRedefine/>
    <w:qFormat/>
    <w:uiPriority w:val="0"/>
    <w:rPr>
      <w:rFonts w:ascii="Times New Roman" w:hAnsi="Times New Roman" w:eastAsia="宋体" w:cs="Times New Roman"/>
      <w:sz w:val="30"/>
      <w:szCs w:val="20"/>
    </w:rPr>
  </w:style>
  <w:style w:type="character" w:customStyle="1" w:styleId="247">
    <w:name w:val="Char Char Char5"/>
    <w:basedOn w:val="89"/>
    <w:autoRedefine/>
    <w:qFormat/>
    <w:uiPriority w:val="0"/>
    <w:rPr>
      <w:rFonts w:ascii="Arial" w:hAnsi="Arial" w:eastAsia="黑体"/>
      <w:b/>
      <w:kern w:val="2"/>
      <w:sz w:val="32"/>
      <w:lang w:val="en-US" w:eastAsia="zh-CN" w:bidi="ar-SA"/>
    </w:rPr>
  </w:style>
  <w:style w:type="character" w:customStyle="1" w:styleId="248">
    <w:name w:val="正文文本 Char1"/>
    <w:autoRedefine/>
    <w:qFormat/>
    <w:uiPriority w:val="0"/>
    <w:rPr>
      <w:rFonts w:ascii="Times New Roman" w:hAnsi="Times New Roman" w:eastAsia="宋体" w:cs="Times New Roman"/>
      <w:sz w:val="24"/>
      <w:szCs w:val="20"/>
    </w:rPr>
  </w:style>
  <w:style w:type="character" w:customStyle="1" w:styleId="249">
    <w:name w:val="textindent"/>
    <w:basedOn w:val="89"/>
    <w:autoRedefine/>
    <w:qFormat/>
    <w:uiPriority w:val="0"/>
  </w:style>
  <w:style w:type="character" w:customStyle="1" w:styleId="250">
    <w:name w:val="书籍标题1"/>
    <w:autoRedefine/>
    <w:qFormat/>
    <w:uiPriority w:val="33"/>
    <w:rPr>
      <w:b/>
      <w:bCs/>
      <w:smallCaps/>
      <w:spacing w:val="5"/>
    </w:rPr>
  </w:style>
  <w:style w:type="character" w:customStyle="1" w:styleId="251">
    <w:name w:val="文本一号样式 宋体 四号 行距: 固定值 28 磅 Char"/>
    <w:basedOn w:val="89"/>
    <w:link w:val="252"/>
    <w:autoRedefine/>
    <w:qFormat/>
    <w:locked/>
    <w:uiPriority w:val="0"/>
    <w:rPr>
      <w:rFonts w:ascii="宋体" w:hAnsi="宋体" w:eastAsia="宋体" w:cs="宋体"/>
      <w:kern w:val="2"/>
      <w:sz w:val="28"/>
      <w:szCs w:val="28"/>
      <w:lang w:val="en-US" w:eastAsia="zh-CN" w:bidi="ar-SA"/>
    </w:rPr>
  </w:style>
  <w:style w:type="paragraph" w:customStyle="1" w:styleId="252">
    <w:name w:val="文本一号样式 宋体 四号 行距: 固定值 28 磅"/>
    <w:basedOn w:val="1"/>
    <w:link w:val="251"/>
    <w:autoRedefine/>
    <w:qFormat/>
    <w:uiPriority w:val="0"/>
    <w:pPr>
      <w:adjustRightInd/>
      <w:snapToGrid/>
      <w:spacing w:line="560" w:lineRule="exact"/>
      <w:ind w:firstLine="521" w:firstLineChars="186"/>
      <w:jc w:val="center"/>
    </w:pPr>
    <w:rPr>
      <w:rFonts w:ascii="宋体" w:hAnsi="宋体" w:cs="宋体"/>
      <w:sz w:val="28"/>
      <w:szCs w:val="28"/>
    </w:rPr>
  </w:style>
  <w:style w:type="character" w:customStyle="1" w:styleId="253">
    <w:name w:val="answerref"/>
    <w:basedOn w:val="89"/>
    <w:autoRedefine/>
    <w:qFormat/>
    <w:uiPriority w:val="0"/>
  </w:style>
  <w:style w:type="character" w:customStyle="1" w:styleId="254">
    <w:name w:val="Char Char3"/>
    <w:basedOn w:val="89"/>
    <w:autoRedefine/>
    <w:qFormat/>
    <w:locked/>
    <w:uiPriority w:val="0"/>
    <w:rPr>
      <w:rFonts w:ascii="仿宋_GB2312" w:eastAsia="仿宋_GB2312"/>
      <w:kern w:val="2"/>
      <w:sz w:val="16"/>
      <w:szCs w:val="16"/>
      <w:lang w:val="en-US" w:eastAsia="zh-CN" w:bidi="ar-SA"/>
    </w:rPr>
  </w:style>
  <w:style w:type="character" w:customStyle="1" w:styleId="255">
    <w:name w:val="Char Char23"/>
    <w:autoRedefine/>
    <w:qFormat/>
    <w:uiPriority w:val="0"/>
    <w:rPr>
      <w:rFonts w:hint="eastAsia" w:ascii="宋体" w:hAnsi="宋体" w:eastAsia="宋体"/>
      <w:b/>
      <w:kern w:val="2"/>
      <w:sz w:val="32"/>
      <w:lang w:val="en-US" w:eastAsia="zh-CN"/>
    </w:rPr>
  </w:style>
  <w:style w:type="character" w:customStyle="1" w:styleId="256">
    <w:name w:val="Char Char13"/>
    <w:basedOn w:val="89"/>
    <w:autoRedefine/>
    <w:qFormat/>
    <w:locked/>
    <w:uiPriority w:val="0"/>
    <w:rPr>
      <w:rFonts w:ascii="仿宋_GB2312" w:eastAsia="仿宋_GB2312"/>
      <w:kern w:val="2"/>
      <w:sz w:val="18"/>
      <w:szCs w:val="18"/>
      <w:lang w:val="en-US" w:eastAsia="zh-CN" w:bidi="ar-SA"/>
    </w:rPr>
  </w:style>
  <w:style w:type="character" w:customStyle="1" w:styleId="257">
    <w:name w:val="发布"/>
    <w:basedOn w:val="89"/>
    <w:autoRedefine/>
    <w:qFormat/>
    <w:uiPriority w:val="0"/>
    <w:rPr>
      <w:rFonts w:ascii="黑体" w:eastAsia="黑体"/>
      <w:spacing w:val="22"/>
      <w:w w:val="100"/>
      <w:position w:val="3"/>
      <w:sz w:val="28"/>
    </w:rPr>
  </w:style>
  <w:style w:type="character" w:customStyle="1" w:styleId="258">
    <w:name w:val="font61"/>
    <w:basedOn w:val="89"/>
    <w:autoRedefine/>
    <w:qFormat/>
    <w:uiPriority w:val="0"/>
    <w:rPr>
      <w:rFonts w:hint="default" w:ascii="Times New Roman" w:hAnsi="Times New Roman"/>
      <w:color w:val="000000"/>
      <w:sz w:val="20"/>
      <w:u w:val="none"/>
      <w:vertAlign w:val="subscript"/>
    </w:rPr>
  </w:style>
  <w:style w:type="character" w:customStyle="1" w:styleId="259">
    <w:name w:val="Char Char10"/>
    <w:autoRedefine/>
    <w:qFormat/>
    <w:uiPriority w:val="0"/>
    <w:rPr>
      <w:rFonts w:ascii="宋体" w:hAnsi="宋体" w:eastAsia="宋体"/>
      <w:kern w:val="2"/>
      <w:sz w:val="21"/>
      <w:lang w:val="en-US" w:eastAsia="zh-CN"/>
    </w:rPr>
  </w:style>
  <w:style w:type="character" w:customStyle="1" w:styleId="260">
    <w:name w:val="Char Char11"/>
    <w:basedOn w:val="89"/>
    <w:autoRedefine/>
    <w:qFormat/>
    <w:locked/>
    <w:uiPriority w:val="0"/>
    <w:rPr>
      <w:rFonts w:ascii="宋体" w:hAnsi="宋体" w:eastAsia="宋体"/>
      <w:i/>
      <w:iCs/>
      <w:kern w:val="2"/>
      <w:sz w:val="28"/>
      <w:szCs w:val="28"/>
      <w:lang w:val="en-US" w:eastAsia="zh-CN" w:bidi="ar-SA"/>
    </w:rPr>
  </w:style>
  <w:style w:type="character" w:customStyle="1" w:styleId="261">
    <w:name w:val="Char Char5"/>
    <w:autoRedefine/>
    <w:qFormat/>
    <w:uiPriority w:val="0"/>
    <w:rPr>
      <w:rFonts w:eastAsia="宋体"/>
      <w:kern w:val="2"/>
      <w:sz w:val="18"/>
      <w:szCs w:val="18"/>
      <w:lang w:val="en-US" w:eastAsia="zh-CN" w:bidi="ar-SA"/>
    </w:rPr>
  </w:style>
  <w:style w:type="character" w:customStyle="1" w:styleId="262">
    <w:name w:val="附表 Char"/>
    <w:basedOn w:val="89"/>
    <w:link w:val="263"/>
    <w:autoRedefine/>
    <w:qFormat/>
    <w:uiPriority w:val="0"/>
    <w:rPr>
      <w:rFonts w:eastAsia="宋体"/>
      <w:b/>
      <w:kern w:val="2"/>
      <w:sz w:val="28"/>
      <w:lang w:val="en-US" w:eastAsia="zh-CN" w:bidi="ar-SA"/>
    </w:rPr>
  </w:style>
  <w:style w:type="paragraph" w:customStyle="1" w:styleId="263">
    <w:name w:val="附表"/>
    <w:basedOn w:val="1"/>
    <w:next w:val="1"/>
    <w:link w:val="262"/>
    <w:autoRedefine/>
    <w:qFormat/>
    <w:uiPriority w:val="0"/>
    <w:pPr>
      <w:adjustRightInd/>
      <w:snapToGrid/>
      <w:spacing w:beforeLines="50" w:afterLines="50" w:line="240" w:lineRule="auto"/>
      <w:ind w:firstLine="0" w:firstLineChars="0"/>
      <w:jc w:val="center"/>
    </w:pPr>
    <w:rPr>
      <w:b/>
      <w:sz w:val="28"/>
    </w:rPr>
  </w:style>
  <w:style w:type="character" w:customStyle="1" w:styleId="264">
    <w:name w:val="明显引用 字符"/>
    <w:link w:val="265"/>
    <w:autoRedefine/>
    <w:qFormat/>
    <w:uiPriority w:val="30"/>
    <w:rPr>
      <w:b/>
      <w:bCs/>
      <w:i/>
      <w:iCs/>
      <w:color w:val="2DA2BF"/>
    </w:rPr>
  </w:style>
  <w:style w:type="paragraph" w:styleId="265">
    <w:name w:val="Intense Quote"/>
    <w:basedOn w:val="1"/>
    <w:next w:val="1"/>
    <w:link w:val="264"/>
    <w:autoRedefine/>
    <w:qFormat/>
    <w:uiPriority w:val="30"/>
    <w:pPr>
      <w:widowControl/>
      <w:pBdr>
        <w:bottom w:val="single" w:color="2DA2BF" w:sz="4" w:space="4"/>
      </w:pBdr>
      <w:adjustRightInd/>
      <w:snapToGrid/>
      <w:spacing w:before="200" w:after="280" w:line="276" w:lineRule="auto"/>
      <w:ind w:left="936" w:right="936" w:firstLine="0" w:firstLineChars="0"/>
      <w:jc w:val="left"/>
    </w:pPr>
    <w:rPr>
      <w:rFonts w:ascii="Calibri" w:hAnsi="Calibri"/>
      <w:b/>
      <w:bCs/>
      <w:i/>
      <w:iCs/>
      <w:color w:val="2DA2BF"/>
      <w:kern w:val="0"/>
      <w:sz w:val="20"/>
    </w:rPr>
  </w:style>
  <w:style w:type="character" w:customStyle="1" w:styleId="266">
    <w:name w:val="表格内容-居中 Char"/>
    <w:basedOn w:val="89"/>
    <w:link w:val="267"/>
    <w:autoRedefine/>
    <w:qFormat/>
    <w:uiPriority w:val="0"/>
    <w:rPr>
      <w:rFonts w:eastAsia="宋体"/>
      <w:color w:val="000000"/>
      <w:sz w:val="21"/>
      <w:szCs w:val="21"/>
      <w:lang w:val="zh-CN" w:eastAsia="zh-CN" w:bidi="ar-SA"/>
    </w:rPr>
  </w:style>
  <w:style w:type="paragraph" w:customStyle="1" w:styleId="267">
    <w:name w:val="表格内容-居中"/>
    <w:basedOn w:val="1"/>
    <w:link w:val="266"/>
    <w:autoRedefine/>
    <w:qFormat/>
    <w:uiPriority w:val="0"/>
    <w:pPr>
      <w:adjustRightInd/>
      <w:snapToGrid/>
      <w:spacing w:line="240" w:lineRule="auto"/>
      <w:ind w:firstLine="29" w:firstLineChars="14"/>
      <w:jc w:val="left"/>
    </w:pPr>
    <w:rPr>
      <w:color w:val="000000"/>
      <w:kern w:val="0"/>
      <w:sz w:val="21"/>
      <w:szCs w:val="21"/>
      <w:lang w:val="zh-CN"/>
    </w:rPr>
  </w:style>
  <w:style w:type="character" w:customStyle="1" w:styleId="268">
    <w:name w:val="！正文ａｌｔ＋5 Char"/>
    <w:basedOn w:val="89"/>
    <w:link w:val="269"/>
    <w:autoRedefine/>
    <w:qFormat/>
    <w:uiPriority w:val="0"/>
    <w:rPr>
      <w:rFonts w:ascii="仿宋_GB2312" w:eastAsia="仿宋_GB2312"/>
      <w:kern w:val="2"/>
      <w:sz w:val="28"/>
      <w:szCs w:val="28"/>
      <w:lang w:val="en-US" w:eastAsia="zh-CN" w:bidi="ar-SA"/>
    </w:rPr>
  </w:style>
  <w:style w:type="paragraph" w:customStyle="1" w:styleId="269">
    <w:name w:val="！正文ａｌｔ＋5"/>
    <w:basedOn w:val="1"/>
    <w:link w:val="268"/>
    <w:autoRedefine/>
    <w:qFormat/>
    <w:uiPriority w:val="0"/>
    <w:pPr>
      <w:snapToGrid/>
      <w:spacing w:line="560" w:lineRule="exact"/>
      <w:ind w:firstLine="560"/>
      <w:jc w:val="left"/>
    </w:pPr>
    <w:rPr>
      <w:rFonts w:ascii="仿宋_GB2312" w:eastAsia="仿宋_GB2312"/>
      <w:sz w:val="28"/>
      <w:szCs w:val="28"/>
    </w:rPr>
  </w:style>
  <w:style w:type="character" w:customStyle="1" w:styleId="270">
    <w:name w:val="标题 2 Char1"/>
    <w:autoRedefine/>
    <w:qFormat/>
    <w:uiPriority w:val="0"/>
    <w:rPr>
      <w:rFonts w:ascii="Arial" w:hAnsi="Arial" w:eastAsia="黑体"/>
      <w:b/>
      <w:kern w:val="2"/>
      <w:sz w:val="32"/>
    </w:rPr>
  </w:style>
  <w:style w:type="character" w:customStyle="1" w:styleId="271">
    <w:name w:val="明显引用 Char1"/>
    <w:autoRedefine/>
    <w:qFormat/>
    <w:uiPriority w:val="30"/>
    <w:rPr>
      <w:rFonts w:ascii="Times New Roman" w:hAnsi="Times New Roman"/>
      <w:b/>
      <w:bCs/>
      <w:i/>
      <w:iCs/>
      <w:color w:val="4F81BD"/>
      <w:kern w:val="2"/>
      <w:sz w:val="24"/>
    </w:rPr>
  </w:style>
  <w:style w:type="character" w:customStyle="1" w:styleId="272">
    <w:name w:val="引用 字符"/>
    <w:link w:val="273"/>
    <w:autoRedefine/>
    <w:qFormat/>
    <w:uiPriority w:val="29"/>
    <w:rPr>
      <w:i/>
      <w:iCs/>
      <w:color w:val="000000"/>
    </w:rPr>
  </w:style>
  <w:style w:type="paragraph" w:styleId="273">
    <w:name w:val="Quote"/>
    <w:basedOn w:val="1"/>
    <w:next w:val="1"/>
    <w:link w:val="272"/>
    <w:autoRedefine/>
    <w:qFormat/>
    <w:uiPriority w:val="29"/>
    <w:pPr>
      <w:widowControl/>
      <w:adjustRightInd/>
      <w:snapToGrid/>
      <w:spacing w:after="200" w:line="276" w:lineRule="auto"/>
      <w:ind w:firstLine="0" w:firstLineChars="0"/>
      <w:jc w:val="left"/>
    </w:pPr>
    <w:rPr>
      <w:rFonts w:ascii="Calibri" w:hAnsi="Calibri"/>
      <w:i/>
      <w:iCs/>
      <w:color w:val="000000"/>
      <w:kern w:val="0"/>
      <w:sz w:val="20"/>
    </w:rPr>
  </w:style>
  <w:style w:type="character" w:customStyle="1" w:styleId="274">
    <w:name w:val="文档结构图 字符"/>
    <w:link w:val="26"/>
    <w:autoRedefine/>
    <w:qFormat/>
    <w:uiPriority w:val="0"/>
    <w:rPr>
      <w:rFonts w:ascii="Times New Roman" w:hAnsi="Times New Roman" w:eastAsia="宋体" w:cs="Times New Roman"/>
      <w:sz w:val="30"/>
      <w:szCs w:val="20"/>
      <w:shd w:val="clear" w:color="auto" w:fill="000080"/>
    </w:rPr>
  </w:style>
  <w:style w:type="character" w:customStyle="1" w:styleId="275">
    <w:name w:val="样式5 Char"/>
    <w:link w:val="276"/>
    <w:autoRedefine/>
    <w:qFormat/>
    <w:uiPriority w:val="0"/>
    <w:rPr>
      <w:rFonts w:ascii="Times New Roman" w:hAnsi="Times New Roman" w:eastAsia="宋体"/>
      <w:kern w:val="2"/>
      <w:sz w:val="18"/>
      <w:szCs w:val="18"/>
      <w:lang w:val="en-US" w:eastAsia="zh-CN" w:bidi="ar-SA"/>
    </w:rPr>
  </w:style>
  <w:style w:type="paragraph" w:customStyle="1" w:styleId="276">
    <w:name w:val="样式5"/>
    <w:basedOn w:val="56"/>
    <w:link w:val="275"/>
    <w:autoRedefine/>
    <w:qFormat/>
    <w:uiPriority w:val="0"/>
    <w:pPr>
      <w:ind w:firstLine="360"/>
    </w:pPr>
    <w:rPr>
      <w:rFonts w:ascii="Times New Roman" w:hAnsi="Times New Roman"/>
    </w:rPr>
  </w:style>
  <w:style w:type="character" w:customStyle="1" w:styleId="277">
    <w:name w:val="标题 2 Char2"/>
    <w:autoRedefine/>
    <w:qFormat/>
    <w:uiPriority w:val="0"/>
    <w:rPr>
      <w:rFonts w:ascii="Arial" w:hAnsi="Arial" w:eastAsia="黑体"/>
      <w:b/>
      <w:kern w:val="2"/>
      <w:sz w:val="30"/>
      <w:lang w:val="en-US" w:eastAsia="zh-CN"/>
    </w:rPr>
  </w:style>
  <w:style w:type="character" w:customStyle="1" w:styleId="278">
    <w:name w:val="批注框文本 字符"/>
    <w:link w:val="53"/>
    <w:autoRedefine/>
    <w:qFormat/>
    <w:uiPriority w:val="0"/>
    <w:rPr>
      <w:rFonts w:ascii="Times New Roman" w:hAnsi="Times New Roman" w:eastAsia="宋体" w:cs="Times New Roman"/>
      <w:sz w:val="18"/>
      <w:szCs w:val="18"/>
    </w:rPr>
  </w:style>
  <w:style w:type="character" w:customStyle="1" w:styleId="279">
    <w:name w:val="引用 Char1"/>
    <w:autoRedefine/>
    <w:qFormat/>
    <w:uiPriority w:val="29"/>
    <w:rPr>
      <w:rFonts w:ascii="Times New Roman" w:hAnsi="Times New Roman"/>
      <w:i/>
      <w:iCs/>
      <w:color w:val="000000"/>
      <w:kern w:val="2"/>
      <w:sz w:val="24"/>
    </w:rPr>
  </w:style>
  <w:style w:type="character" w:customStyle="1" w:styleId="280">
    <w:name w:val="标题 Char1"/>
    <w:autoRedefine/>
    <w:qFormat/>
    <w:uiPriority w:val="10"/>
    <w:rPr>
      <w:rFonts w:ascii="Cambria" w:hAnsi="Cambria" w:cs="Times New Roman"/>
      <w:b/>
      <w:bCs/>
      <w:kern w:val="2"/>
      <w:sz w:val="32"/>
      <w:szCs w:val="32"/>
    </w:rPr>
  </w:style>
  <w:style w:type="character" w:customStyle="1" w:styleId="281">
    <w:name w:val="签名 字符"/>
    <w:link w:val="57"/>
    <w:autoRedefine/>
    <w:qFormat/>
    <w:uiPriority w:val="0"/>
    <w:rPr>
      <w:rFonts w:ascii="Times New Roman" w:hAnsi="Times New Roman" w:eastAsia="宋体" w:cs="Times New Roman"/>
      <w:szCs w:val="24"/>
    </w:rPr>
  </w:style>
  <w:style w:type="character" w:customStyle="1" w:styleId="282">
    <w:name w:val="样式5 Char1"/>
    <w:autoRedefine/>
    <w:qFormat/>
    <w:uiPriority w:val="0"/>
    <w:rPr>
      <w:rFonts w:ascii="宋体" w:hAnsi="宋体" w:eastAsia="宋体"/>
      <w:kern w:val="2"/>
      <w:sz w:val="24"/>
      <w:lang w:val="en-US" w:eastAsia="zh-CN" w:bidi="ar-SA"/>
    </w:rPr>
  </w:style>
  <w:style w:type="character" w:customStyle="1" w:styleId="283">
    <w:name w:val="不明显参考1"/>
    <w:autoRedefine/>
    <w:qFormat/>
    <w:uiPriority w:val="31"/>
    <w:rPr>
      <w:smallCaps/>
      <w:color w:val="DA1F28"/>
      <w:u w:val="single"/>
    </w:rPr>
  </w:style>
  <w:style w:type="character" w:customStyle="1" w:styleId="284">
    <w:name w:val="HTML 地址 字符"/>
    <w:link w:val="40"/>
    <w:autoRedefine/>
    <w:qFormat/>
    <w:uiPriority w:val="0"/>
    <w:rPr>
      <w:kern w:val="2"/>
      <w:sz w:val="21"/>
    </w:rPr>
  </w:style>
  <w:style w:type="character" w:customStyle="1" w:styleId="285">
    <w:name w:val="text2"/>
    <w:basedOn w:val="89"/>
    <w:autoRedefine/>
    <w:qFormat/>
    <w:uiPriority w:val="0"/>
    <w:rPr>
      <w:color w:val="000000"/>
      <w:sz w:val="18"/>
      <w:szCs w:val="18"/>
    </w:rPr>
  </w:style>
  <w:style w:type="character" w:customStyle="1" w:styleId="286">
    <w:name w:val="Char Char15"/>
    <w:autoRedefine/>
    <w:qFormat/>
    <w:locked/>
    <w:uiPriority w:val="0"/>
    <w:rPr>
      <w:rFonts w:ascii="Arial" w:hAnsi="Arial" w:eastAsia="黑体"/>
      <w:kern w:val="2"/>
      <w:sz w:val="21"/>
      <w:szCs w:val="21"/>
      <w:lang w:val="en-US" w:eastAsia="zh-CN" w:bidi="ar-SA"/>
    </w:rPr>
  </w:style>
  <w:style w:type="character" w:customStyle="1" w:styleId="287">
    <w:name w:val="Char Char8"/>
    <w:basedOn w:val="89"/>
    <w:autoRedefine/>
    <w:qFormat/>
    <w:locked/>
    <w:uiPriority w:val="0"/>
    <w:rPr>
      <w:rFonts w:ascii="宋体" w:hAnsi="宋体" w:eastAsia="宋体"/>
      <w:kern w:val="2"/>
      <w:sz w:val="28"/>
      <w:szCs w:val="28"/>
      <w:lang w:val="en-US" w:eastAsia="zh-CN" w:bidi="ar-SA"/>
    </w:rPr>
  </w:style>
  <w:style w:type="character" w:customStyle="1" w:styleId="288">
    <w:name w:val="font31"/>
    <w:basedOn w:val="89"/>
    <w:autoRedefine/>
    <w:qFormat/>
    <w:uiPriority w:val="0"/>
    <w:rPr>
      <w:rFonts w:hint="default" w:ascii="Times New Roman" w:hAnsi="Times New Roman"/>
      <w:color w:val="000000"/>
      <w:sz w:val="20"/>
      <w:u w:val="none"/>
    </w:rPr>
  </w:style>
  <w:style w:type="character" w:customStyle="1" w:styleId="289">
    <w:name w:val="Char Char Char51"/>
    <w:basedOn w:val="89"/>
    <w:autoRedefine/>
    <w:qFormat/>
    <w:uiPriority w:val="0"/>
    <w:rPr>
      <w:rFonts w:hint="default" w:ascii="Arial" w:hAnsi="Arial" w:eastAsia="黑体" w:cs="Arial"/>
      <w:b/>
      <w:kern w:val="2"/>
      <w:sz w:val="32"/>
      <w:lang w:val="en-US" w:eastAsia="zh-CN" w:bidi="ar-SA"/>
    </w:rPr>
  </w:style>
  <w:style w:type="character" w:customStyle="1" w:styleId="290">
    <w:name w:val="Char Char241"/>
    <w:autoRedefine/>
    <w:qFormat/>
    <w:uiPriority w:val="0"/>
    <w:rPr>
      <w:rFonts w:hint="default" w:ascii="Arial" w:hAnsi="Arial" w:eastAsia="黑体" w:cs="Arial"/>
      <w:b/>
      <w:kern w:val="2"/>
      <w:sz w:val="30"/>
      <w:lang w:val="en-US" w:eastAsia="zh-CN"/>
    </w:rPr>
  </w:style>
  <w:style w:type="character" w:customStyle="1" w:styleId="291">
    <w:name w:val="样式5 Char Char"/>
    <w:basedOn w:val="89"/>
    <w:autoRedefine/>
    <w:qFormat/>
    <w:uiPriority w:val="0"/>
    <w:rPr>
      <w:rFonts w:eastAsia="宋体"/>
      <w:kern w:val="2"/>
      <w:sz w:val="24"/>
      <w:szCs w:val="24"/>
      <w:lang w:val="en-US" w:eastAsia="zh-CN" w:bidi="ar-SA"/>
    </w:rPr>
  </w:style>
  <w:style w:type="character" w:customStyle="1" w:styleId="292">
    <w:name w:val="_正文格式 Char Char"/>
    <w:basedOn w:val="89"/>
    <w:autoRedefine/>
    <w:qFormat/>
    <w:uiPriority w:val="0"/>
    <w:rPr>
      <w:rFonts w:eastAsia="仿宋_GB2312"/>
      <w:kern w:val="2"/>
      <w:sz w:val="28"/>
      <w:szCs w:val="24"/>
      <w:lang w:val="en-US" w:eastAsia="zh-CN" w:bidi="ar-SA"/>
    </w:rPr>
  </w:style>
  <w:style w:type="character" w:customStyle="1" w:styleId="293">
    <w:name w:val="陈5 Char"/>
    <w:basedOn w:val="89"/>
    <w:link w:val="294"/>
    <w:autoRedefine/>
    <w:qFormat/>
    <w:uiPriority w:val="0"/>
    <w:rPr>
      <w:kern w:val="2"/>
      <w:sz w:val="28"/>
      <w:szCs w:val="24"/>
      <w:lang w:val="en-US" w:eastAsia="zh-CN" w:bidi="ar-SA"/>
    </w:rPr>
  </w:style>
  <w:style w:type="paragraph" w:customStyle="1" w:styleId="294">
    <w:name w:val="陈5"/>
    <w:basedOn w:val="1"/>
    <w:link w:val="293"/>
    <w:autoRedefine/>
    <w:qFormat/>
    <w:uiPriority w:val="0"/>
    <w:pPr>
      <w:adjustRightInd/>
      <w:snapToGrid/>
      <w:ind w:firstLine="400" w:firstLineChars="400"/>
      <w:jc w:val="left"/>
    </w:pPr>
    <w:rPr>
      <w:rFonts w:eastAsia="Times New Roman"/>
      <w:sz w:val="28"/>
      <w:szCs w:val="24"/>
    </w:rPr>
  </w:style>
  <w:style w:type="character" w:customStyle="1" w:styleId="295">
    <w:name w:val="样式 首行缩进:  1.92 字符 Char"/>
    <w:basedOn w:val="89"/>
    <w:link w:val="296"/>
    <w:autoRedefine/>
    <w:qFormat/>
    <w:uiPriority w:val="0"/>
    <w:rPr>
      <w:rFonts w:ascii="宋体" w:hAnsi="宋体" w:eastAsia="宋体" w:cs="宋体"/>
      <w:kern w:val="2"/>
      <w:sz w:val="28"/>
      <w:lang w:val="en-US" w:eastAsia="zh-CN" w:bidi="ar-SA"/>
    </w:rPr>
  </w:style>
  <w:style w:type="paragraph" w:customStyle="1" w:styleId="296">
    <w:name w:val="样式 首行缩进:  1.92 字符"/>
    <w:basedOn w:val="1"/>
    <w:link w:val="295"/>
    <w:autoRedefine/>
    <w:qFormat/>
    <w:uiPriority w:val="0"/>
    <w:pPr>
      <w:adjustRightInd/>
      <w:snapToGrid/>
      <w:ind w:firstLine="560"/>
    </w:pPr>
    <w:rPr>
      <w:rFonts w:ascii="宋体" w:hAnsi="宋体" w:cs="宋体"/>
      <w:sz w:val="28"/>
    </w:rPr>
  </w:style>
  <w:style w:type="paragraph" w:customStyle="1" w:styleId="297">
    <w:name w:val="实施日期"/>
    <w:basedOn w:val="298"/>
    <w:autoRedefine/>
    <w:qFormat/>
    <w:uiPriority w:val="0"/>
    <w:pPr>
      <w:framePr w:hSpace="0" w:wrap="around" w:vAnchor="text" w:hAnchor="text" w:xAlign="right"/>
      <w:jc w:val="right"/>
    </w:pPr>
  </w:style>
  <w:style w:type="paragraph" w:customStyle="1" w:styleId="298">
    <w:name w:val="发布日期"/>
    <w:autoRedefine/>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299">
    <w:name w:val="样式 四号 行距: 1.5 倍行距"/>
    <w:basedOn w:val="1"/>
    <w:autoRedefine/>
    <w:qFormat/>
    <w:uiPriority w:val="0"/>
    <w:pPr>
      <w:adjustRightInd/>
      <w:snapToGrid/>
      <w:ind w:firstLine="560"/>
    </w:pPr>
    <w:rPr>
      <w:rFonts w:cs="宋体"/>
      <w:sz w:val="30"/>
    </w:rPr>
  </w:style>
  <w:style w:type="paragraph" w:customStyle="1" w:styleId="300">
    <w:name w:val="标准书眉一"/>
    <w:autoRedefine/>
    <w:qFormat/>
    <w:uiPriority w:val="0"/>
    <w:pPr>
      <w:jc w:val="both"/>
    </w:pPr>
    <w:rPr>
      <w:rFonts w:ascii="Times New Roman" w:hAnsi="Times New Roman" w:eastAsia="宋体" w:cs="Times New Roman"/>
      <w:lang w:val="en-US" w:eastAsia="zh-CN" w:bidi="ar-SA"/>
    </w:rPr>
  </w:style>
  <w:style w:type="paragraph" w:customStyle="1" w:styleId="301">
    <w:name w:val="font7"/>
    <w:basedOn w:val="1"/>
    <w:autoRedefine/>
    <w:qFormat/>
    <w:uiPriority w:val="0"/>
    <w:pPr>
      <w:widowControl/>
      <w:adjustRightInd/>
      <w:snapToGrid/>
      <w:spacing w:before="100" w:beforeAutospacing="1" w:after="100" w:afterAutospacing="1"/>
      <w:jc w:val="left"/>
    </w:pPr>
    <w:rPr>
      <w:rFonts w:ascii="Calibri" w:hAnsi="Calibri" w:eastAsia="Arial Unicode MS"/>
      <w:kern w:val="0"/>
      <w:szCs w:val="22"/>
    </w:rPr>
  </w:style>
  <w:style w:type="paragraph" w:customStyle="1" w:styleId="302">
    <w:name w:val="1.2行"/>
    <w:basedOn w:val="303"/>
    <w:autoRedefine/>
    <w:qFormat/>
    <w:uiPriority w:val="0"/>
    <w:pPr>
      <w:adjustRightInd w:val="0"/>
      <w:snapToGrid w:val="0"/>
      <w:spacing w:beforeLines="0" w:line="288" w:lineRule="auto"/>
    </w:pPr>
    <w:rPr>
      <w:b/>
      <w:bCs/>
      <w:snapToGrid w:val="0"/>
      <w:color w:val="000000"/>
    </w:rPr>
  </w:style>
  <w:style w:type="paragraph" w:customStyle="1" w:styleId="303">
    <w:name w:val="070706正文样式"/>
    <w:basedOn w:val="34"/>
    <w:autoRedefine/>
    <w:qFormat/>
    <w:uiPriority w:val="0"/>
    <w:pPr>
      <w:spacing w:beforeLines="50" w:line="360" w:lineRule="auto"/>
      <w:ind w:firstLine="560" w:firstLineChars="200"/>
    </w:pPr>
    <w:rPr>
      <w:rFonts w:ascii="宋体" w:hAnsi="宋体"/>
      <w:szCs w:val="28"/>
    </w:rPr>
  </w:style>
  <w:style w:type="paragraph" w:customStyle="1" w:styleId="304">
    <w:name w:val="Char Char Char Char"/>
    <w:basedOn w:val="1"/>
    <w:autoRedefine/>
    <w:qFormat/>
    <w:uiPriority w:val="0"/>
    <w:pPr>
      <w:adjustRightInd/>
      <w:snapToGrid/>
      <w:spacing w:line="240" w:lineRule="auto"/>
      <w:ind w:firstLine="0" w:firstLineChars="0"/>
    </w:pPr>
    <w:rPr>
      <w:sz w:val="21"/>
      <w:szCs w:val="24"/>
    </w:rPr>
  </w:style>
  <w:style w:type="paragraph" w:customStyle="1" w:styleId="305">
    <w:name w:val="Char1"/>
    <w:basedOn w:val="1"/>
    <w:autoRedefine/>
    <w:qFormat/>
    <w:uiPriority w:val="0"/>
    <w:pPr>
      <w:adjustRightInd/>
      <w:snapToGrid/>
      <w:spacing w:line="240" w:lineRule="auto"/>
      <w:ind w:firstLine="0" w:firstLineChars="0"/>
    </w:pPr>
    <w:rPr>
      <w:sz w:val="21"/>
      <w:szCs w:val="24"/>
    </w:rPr>
  </w:style>
  <w:style w:type="paragraph" w:customStyle="1" w:styleId="306">
    <w:name w:val="正文文本缩进1"/>
    <w:autoRedefine/>
    <w:qFormat/>
    <w:uiPriority w:val="0"/>
    <w:pPr>
      <w:spacing w:line="360" w:lineRule="auto"/>
      <w:jc w:val="both"/>
    </w:pPr>
    <w:rPr>
      <w:rFonts w:ascii="Times New Roman" w:hAnsi="Times New Roman" w:eastAsia="宋体" w:cs="Times New Roman"/>
      <w:kern w:val="2"/>
      <w:sz w:val="28"/>
      <w:lang w:val="en-US" w:eastAsia="zh-CN" w:bidi="ar-SA"/>
    </w:rPr>
  </w:style>
  <w:style w:type="paragraph" w:customStyle="1" w:styleId="307">
    <w:name w:val="表"/>
    <w:basedOn w:val="1"/>
    <w:autoRedefine/>
    <w:qFormat/>
    <w:uiPriority w:val="0"/>
    <w:pPr>
      <w:adjustRightInd/>
      <w:snapToGrid/>
      <w:spacing w:line="240" w:lineRule="auto"/>
      <w:ind w:firstLine="0" w:firstLineChars="0"/>
      <w:jc w:val="center"/>
    </w:pPr>
    <w:rPr>
      <w:rFonts w:eastAsia="仿宋_GB2312"/>
      <w:szCs w:val="24"/>
    </w:rPr>
  </w:style>
  <w:style w:type="paragraph" w:customStyle="1" w:styleId="308">
    <w:name w:val="xl67"/>
    <w:basedOn w:val="1"/>
    <w:autoRedefine/>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textAlignment w:val="center"/>
    </w:pPr>
    <w:rPr>
      <w:color w:val="FF0000"/>
      <w:kern w:val="0"/>
      <w:sz w:val="21"/>
      <w:szCs w:val="21"/>
    </w:rPr>
  </w:style>
  <w:style w:type="paragraph" w:customStyle="1" w:styleId="309">
    <w:name w:val="样式 标题 3条标题1.1.1BSH-3 + (中文) 黑体 玫瑰红 首行缩进:  2 字符 段前: 6 磅 段后:..."/>
    <w:basedOn w:val="6"/>
    <w:autoRedefine/>
    <w:qFormat/>
    <w:uiPriority w:val="0"/>
    <w:pPr>
      <w:adjustRightInd/>
      <w:snapToGrid/>
      <w:spacing w:line="560" w:lineRule="exact"/>
      <w:ind w:firstLine="0" w:firstLineChars="0"/>
    </w:pPr>
    <w:rPr>
      <w:rFonts w:eastAsia="黑体" w:cs="宋体"/>
      <w:b w:val="0"/>
      <w:bCs w:val="0"/>
      <w:color w:val="FF99CC"/>
      <w:sz w:val="30"/>
      <w:szCs w:val="30"/>
    </w:rPr>
  </w:style>
  <w:style w:type="paragraph" w:customStyle="1" w:styleId="310">
    <w:name w:val="样式 样式4 + 段后: 2 行"/>
    <w:basedOn w:val="1"/>
    <w:autoRedefine/>
    <w:qFormat/>
    <w:uiPriority w:val="0"/>
    <w:pPr>
      <w:keepNext/>
      <w:keepLines/>
      <w:adjustRightInd/>
      <w:spacing w:line="560" w:lineRule="exact"/>
      <w:jc w:val="left"/>
      <w:outlineLvl w:val="1"/>
    </w:pPr>
    <w:rPr>
      <w:rFonts w:ascii="仿宋_GB2312" w:hAnsi="仿宋_GB2312" w:eastAsia="仿宋_GB2312" w:cs="宋体"/>
      <w:b/>
      <w:bCs/>
      <w:color w:val="000000"/>
      <w:spacing w:val="6"/>
      <w:sz w:val="28"/>
    </w:rPr>
  </w:style>
  <w:style w:type="paragraph" w:customStyle="1" w:styleId="311">
    <w:name w:val="样式 样式 样式 (符号) 宋体 四号 行距: 1.5 倍行距 + 首行缩进:  2 字符 + 首行缩进:  2 字符"/>
    <w:basedOn w:val="196"/>
    <w:autoRedefine/>
    <w:qFormat/>
    <w:uiPriority w:val="0"/>
    <w:pPr>
      <w:ind w:firstLine="560"/>
    </w:pPr>
  </w:style>
  <w:style w:type="paragraph" w:customStyle="1" w:styleId="312">
    <w:name w:val="Char Char Char1 Char Char Char Char"/>
    <w:basedOn w:val="1"/>
    <w:autoRedefine/>
    <w:qFormat/>
    <w:uiPriority w:val="0"/>
    <w:pPr>
      <w:adjustRightInd/>
      <w:snapToGrid/>
      <w:spacing w:line="240" w:lineRule="auto"/>
      <w:ind w:firstLine="0" w:firstLineChars="0"/>
    </w:pPr>
    <w:rPr>
      <w:sz w:val="21"/>
    </w:rPr>
  </w:style>
  <w:style w:type="paragraph" w:customStyle="1" w:styleId="313">
    <w:name w:val="表格（天泰）"/>
    <w:next w:val="1"/>
    <w:autoRedefine/>
    <w:qFormat/>
    <w:uiPriority w:val="0"/>
    <w:pPr>
      <w:jc w:val="center"/>
    </w:pPr>
    <w:rPr>
      <w:rFonts w:ascii="Times New Roman" w:hAnsi="Times New Roman" w:eastAsia="宋体" w:cs="Times New Roman"/>
      <w:kern w:val="2"/>
      <w:sz w:val="21"/>
      <w:lang w:val="en-US" w:eastAsia="zh-CN" w:bidi="ar-SA"/>
    </w:rPr>
  </w:style>
  <w:style w:type="paragraph" w:customStyle="1" w:styleId="314">
    <w:name w:val="070707正文样式"/>
    <w:basedOn w:val="69"/>
    <w:autoRedefine/>
    <w:qFormat/>
    <w:uiPriority w:val="0"/>
    <w:pPr>
      <w:adjustRightInd w:val="0"/>
      <w:spacing w:line="360" w:lineRule="auto"/>
      <w:ind w:firstLine="560" w:firstLineChars="200"/>
      <w:jc w:val="left"/>
    </w:pPr>
    <w:rPr>
      <w:rFonts w:hAnsi="Times New Roman"/>
      <w:color w:val="000000"/>
      <w:szCs w:val="28"/>
    </w:rPr>
  </w:style>
  <w:style w:type="paragraph" w:customStyle="1" w:styleId="315">
    <w:name w:val="xl27"/>
    <w:basedOn w:val="1"/>
    <w:autoRedefine/>
    <w:qFormat/>
    <w:uiPriority w:val="0"/>
    <w:pPr>
      <w:widowControl/>
      <w:pBdr>
        <w:left w:val="single" w:color="auto" w:sz="4" w:space="0"/>
        <w:bottom w:val="single" w:color="auto" w:sz="4" w:space="0"/>
        <w:right w:val="single" w:color="auto" w:sz="4" w:space="0"/>
      </w:pBdr>
      <w:adjustRightInd/>
      <w:snapToGrid/>
      <w:spacing w:before="100" w:beforeAutospacing="1" w:after="100" w:afterAutospacing="1"/>
      <w:jc w:val="center"/>
    </w:pPr>
    <w:rPr>
      <w:rFonts w:ascii="Arial Unicode MS" w:hAnsi="Arial Unicode MS" w:eastAsia="Arial Unicode MS"/>
      <w:kern w:val="0"/>
      <w:sz w:val="20"/>
      <w:szCs w:val="22"/>
    </w:rPr>
  </w:style>
  <w:style w:type="paragraph" w:customStyle="1" w:styleId="316">
    <w:name w:val="表标题"/>
    <w:basedOn w:val="1"/>
    <w:autoRedefine/>
    <w:qFormat/>
    <w:uiPriority w:val="0"/>
    <w:pPr>
      <w:adjustRightInd/>
      <w:snapToGrid/>
      <w:spacing w:line="240" w:lineRule="auto"/>
      <w:ind w:firstLine="0" w:firstLineChars="0"/>
      <w:jc w:val="center"/>
    </w:pPr>
    <w:rPr>
      <w:b/>
      <w:szCs w:val="24"/>
    </w:rPr>
  </w:style>
  <w:style w:type="paragraph" w:customStyle="1" w:styleId="317">
    <w:name w:val="xl44"/>
    <w:basedOn w:val="1"/>
    <w:autoRedefine/>
    <w:qFormat/>
    <w:uiPriority w:val="0"/>
    <w:pPr>
      <w:widowControl/>
      <w:adjustRightInd/>
      <w:snapToGrid/>
      <w:spacing w:before="100" w:beforeAutospacing="1" w:after="100" w:afterAutospacing="1" w:line="240" w:lineRule="auto"/>
      <w:ind w:firstLine="0" w:firstLineChars="0"/>
      <w:jc w:val="center"/>
      <w:textAlignment w:val="center"/>
    </w:pPr>
    <w:rPr>
      <w:kern w:val="0"/>
      <w:szCs w:val="24"/>
    </w:rPr>
  </w:style>
  <w:style w:type="paragraph" w:customStyle="1" w:styleId="318">
    <w:name w:val="样式 样式 样式 (符号) 宋体 四号 行距: 1.5 倍行距 + 首行缩进:  2 字符 + (中文) 楷体_GB2312 ..."/>
    <w:basedOn w:val="196"/>
    <w:autoRedefine/>
    <w:qFormat/>
    <w:uiPriority w:val="0"/>
    <w:pPr>
      <w:spacing w:before="156" w:line="240" w:lineRule="auto"/>
      <w:jc w:val="center"/>
    </w:pPr>
    <w:rPr>
      <w:rFonts w:hAnsi="Times New Roman" w:eastAsia="楷体_GB2312"/>
    </w:rPr>
  </w:style>
  <w:style w:type="paragraph" w:customStyle="1" w:styleId="319">
    <w:name w:val="三级标题"/>
    <w:basedOn w:val="1"/>
    <w:autoRedefine/>
    <w:semiHidden/>
    <w:qFormat/>
    <w:uiPriority w:val="0"/>
    <w:pPr>
      <w:adjustRightInd/>
      <w:snapToGrid/>
      <w:spacing w:line="240" w:lineRule="auto"/>
      <w:ind w:firstLine="0" w:firstLineChars="0"/>
    </w:pPr>
    <w:rPr>
      <w:rFonts w:eastAsia="黑体"/>
      <w:bCs/>
      <w:sz w:val="28"/>
      <w:szCs w:val="24"/>
    </w:rPr>
  </w:style>
  <w:style w:type="paragraph" w:customStyle="1" w:styleId="320">
    <w:name w:val="061102正文样式"/>
    <w:basedOn w:val="1"/>
    <w:autoRedefine/>
    <w:qFormat/>
    <w:uiPriority w:val="0"/>
    <w:pPr>
      <w:adjustRightInd/>
      <w:snapToGrid/>
      <w:spacing w:line="240" w:lineRule="auto"/>
      <w:ind w:firstLine="560"/>
    </w:pPr>
    <w:rPr>
      <w:rFonts w:ascii="仿宋_GB2312" w:eastAsia="仿宋_GB2312"/>
      <w:sz w:val="28"/>
      <w:szCs w:val="24"/>
    </w:rPr>
  </w:style>
  <w:style w:type="paragraph" w:customStyle="1" w:styleId="321">
    <w:name w:val="简单回函地址"/>
    <w:basedOn w:val="1"/>
    <w:autoRedefine/>
    <w:qFormat/>
    <w:uiPriority w:val="0"/>
    <w:pPr>
      <w:adjustRightInd/>
      <w:snapToGrid/>
      <w:spacing w:line="240" w:lineRule="auto"/>
      <w:ind w:firstLine="0" w:firstLineChars="0"/>
    </w:pPr>
    <w:rPr>
      <w:sz w:val="21"/>
      <w:szCs w:val="24"/>
    </w:rPr>
  </w:style>
  <w:style w:type="paragraph" w:customStyle="1" w:styleId="322">
    <w:name w:val="文献分类号"/>
    <w:autoRedefine/>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323">
    <w:name w:val="Char Char Char1 Char Char Char Char Char Char Char"/>
    <w:basedOn w:val="1"/>
    <w:autoRedefine/>
    <w:qFormat/>
    <w:uiPriority w:val="0"/>
    <w:pPr>
      <w:adjustRightInd/>
    </w:pPr>
    <w:rPr>
      <w:rFonts w:eastAsia="仿宋_GB2312"/>
      <w:szCs w:val="24"/>
    </w:rPr>
  </w:style>
  <w:style w:type="paragraph" w:customStyle="1" w:styleId="324">
    <w:name w:val="font0"/>
    <w:basedOn w:val="1"/>
    <w:autoRedefine/>
    <w:qFormat/>
    <w:uiPriority w:val="0"/>
    <w:pPr>
      <w:widowControl/>
      <w:adjustRightInd/>
      <w:snapToGrid/>
      <w:spacing w:before="100" w:beforeAutospacing="1" w:after="100" w:afterAutospacing="1"/>
      <w:jc w:val="left"/>
    </w:pPr>
    <w:rPr>
      <w:rFonts w:hint="eastAsia" w:ascii="宋体" w:hAnsi="宋体" w:eastAsia="仿宋_GB2312"/>
      <w:color w:val="00B050"/>
      <w:kern w:val="0"/>
      <w:szCs w:val="24"/>
    </w:rPr>
  </w:style>
  <w:style w:type="paragraph" w:customStyle="1" w:styleId="325">
    <w:name w:val="xl37"/>
    <w:basedOn w:val="1"/>
    <w:autoRedefine/>
    <w:qFormat/>
    <w:uiPriority w:val="0"/>
    <w:pPr>
      <w:widowControl/>
      <w:pBdr>
        <w:left w:val="single" w:color="auto" w:sz="4" w:space="0"/>
        <w:bottom w:val="single" w:color="auto" w:sz="4" w:space="0"/>
        <w:right w:val="single" w:color="auto" w:sz="8" w:space="0"/>
      </w:pBdr>
      <w:adjustRightInd/>
      <w:snapToGrid/>
      <w:spacing w:before="100" w:beforeAutospacing="1" w:after="100" w:afterAutospacing="1"/>
      <w:jc w:val="left"/>
    </w:pPr>
    <w:rPr>
      <w:rFonts w:ascii="Arial Unicode MS" w:hAnsi="Arial Unicode MS" w:eastAsia="Arial Unicode MS"/>
      <w:kern w:val="0"/>
      <w:sz w:val="20"/>
      <w:szCs w:val="22"/>
    </w:rPr>
  </w:style>
  <w:style w:type="paragraph" w:customStyle="1" w:styleId="326">
    <w:name w:val="xl78"/>
    <w:basedOn w:val="1"/>
    <w:autoRedefine/>
    <w:qFormat/>
    <w:uiPriority w:val="0"/>
    <w:pPr>
      <w:widowControl/>
      <w:pBdr>
        <w:top w:val="single" w:color="auto" w:sz="4" w:space="0"/>
        <w:bottom w:val="single" w:color="auto" w:sz="4" w:space="0"/>
      </w:pBdr>
      <w:adjustRightInd/>
      <w:snapToGrid/>
      <w:spacing w:before="100" w:beforeAutospacing="1" w:after="100" w:afterAutospacing="1" w:line="240" w:lineRule="auto"/>
      <w:ind w:firstLine="0" w:firstLineChars="0"/>
      <w:jc w:val="center"/>
      <w:textAlignment w:val="center"/>
    </w:pPr>
    <w:rPr>
      <w:rFonts w:ascii="仿宋_GB2312" w:hAnsi="宋体" w:eastAsia="仿宋_GB2312" w:cs="宋体"/>
      <w:b/>
      <w:bCs/>
      <w:color w:val="FF0000"/>
      <w:kern w:val="0"/>
      <w:sz w:val="21"/>
      <w:szCs w:val="21"/>
    </w:rPr>
  </w:style>
  <w:style w:type="paragraph" w:customStyle="1" w:styleId="327">
    <w:name w:val="s"/>
    <w:basedOn w:val="1"/>
    <w:autoRedefine/>
    <w:qFormat/>
    <w:uiPriority w:val="0"/>
    <w:pPr>
      <w:adjustRightInd/>
      <w:snapToGrid/>
      <w:spacing w:line="540" w:lineRule="exact"/>
      <w:ind w:firstLine="597"/>
    </w:pPr>
    <w:rPr>
      <w:rFonts w:cs="宋体"/>
      <w:sz w:val="28"/>
    </w:rPr>
  </w:style>
  <w:style w:type="paragraph" w:customStyle="1" w:styleId="328">
    <w:name w:val="样式 标题 3标题 3 Char + Times New Roman 小四 左 段前: 1.5 行 段后: 1.5 行..."/>
    <w:basedOn w:val="6"/>
    <w:autoRedefine/>
    <w:qFormat/>
    <w:uiPriority w:val="0"/>
    <w:pPr>
      <w:keepNext w:val="0"/>
      <w:pageBreakBefore/>
      <w:adjustRightInd/>
      <w:snapToGrid/>
      <w:spacing w:beforeLines="150" w:afterLines="150" w:line="240" w:lineRule="auto"/>
      <w:ind w:firstLine="0" w:firstLineChars="0"/>
      <w:jc w:val="center"/>
    </w:pPr>
    <w:rPr>
      <w:b w:val="0"/>
      <w:color w:val="000000"/>
      <w:kern w:val="0"/>
      <w:sz w:val="44"/>
      <w:szCs w:val="44"/>
    </w:rPr>
  </w:style>
  <w:style w:type="paragraph" w:customStyle="1" w:styleId="329">
    <w:name w:val="Char Char Char Char Char Char"/>
    <w:basedOn w:val="1"/>
    <w:autoRedefine/>
    <w:qFormat/>
    <w:uiPriority w:val="0"/>
    <w:pPr>
      <w:widowControl/>
      <w:adjustRightInd/>
      <w:snapToGrid/>
      <w:spacing w:after="200" w:line="276" w:lineRule="auto"/>
      <w:ind w:firstLine="0" w:firstLineChars="0"/>
      <w:jc w:val="left"/>
    </w:pPr>
    <w:rPr>
      <w:rFonts w:ascii="Calibri" w:hAnsi="Calibri"/>
      <w:kern w:val="0"/>
      <w:sz w:val="22"/>
      <w:szCs w:val="22"/>
    </w:rPr>
  </w:style>
  <w:style w:type="paragraph" w:customStyle="1" w:styleId="330">
    <w:name w:val="样式 标题 2 + 字符缩放: 90%"/>
    <w:basedOn w:val="5"/>
    <w:autoRedefine/>
    <w:qFormat/>
    <w:uiPriority w:val="0"/>
    <w:pPr>
      <w:widowControl/>
      <w:adjustRightInd/>
      <w:snapToGrid/>
      <w:spacing w:before="260" w:after="260" w:line="413" w:lineRule="auto"/>
      <w:jc w:val="both"/>
    </w:pPr>
    <w:rPr>
      <w:rFonts w:cs="宋体"/>
      <w:bCs w:val="0"/>
      <w:w w:val="90"/>
      <w:kern w:val="0"/>
      <w:sz w:val="28"/>
      <w:szCs w:val="28"/>
    </w:rPr>
  </w:style>
  <w:style w:type="paragraph" w:customStyle="1" w:styleId="331">
    <w:name w:val="xl43"/>
    <w:basedOn w:val="1"/>
    <w:autoRedefine/>
    <w:qFormat/>
    <w:uiPriority w:val="0"/>
    <w:pPr>
      <w:widowControl/>
      <w:pBdr>
        <w:bottom w:val="single" w:color="auto" w:sz="8" w:space="0"/>
      </w:pBdr>
      <w:adjustRightInd/>
      <w:snapToGrid/>
      <w:spacing w:before="100" w:beforeAutospacing="1" w:after="100" w:afterAutospacing="1"/>
      <w:jc w:val="left"/>
    </w:pPr>
    <w:rPr>
      <w:rFonts w:ascii="Arial Unicode MS" w:hAnsi="Arial Unicode MS" w:eastAsia="Arial Unicode MS"/>
      <w:kern w:val="0"/>
      <w:szCs w:val="22"/>
    </w:rPr>
  </w:style>
  <w:style w:type="paragraph" w:customStyle="1" w:styleId="332">
    <w:name w:val="Char211"/>
    <w:basedOn w:val="1"/>
    <w:autoRedefine/>
    <w:qFormat/>
    <w:uiPriority w:val="0"/>
    <w:pPr>
      <w:adjustRightInd/>
      <w:snapToGrid/>
      <w:spacing w:line="240" w:lineRule="auto"/>
      <w:ind w:firstLine="0" w:firstLineChars="0"/>
    </w:pPr>
    <w:rPr>
      <w:sz w:val="21"/>
      <w:szCs w:val="24"/>
    </w:rPr>
  </w:style>
  <w:style w:type="paragraph" w:customStyle="1" w:styleId="333">
    <w:name w:val="Char Char Char Char Char Char Char Char Char Char Char Char Char Char Char Char Char Char Char"/>
    <w:basedOn w:val="1"/>
    <w:autoRedefine/>
    <w:qFormat/>
    <w:uiPriority w:val="0"/>
    <w:pPr>
      <w:adjustRightInd/>
      <w:snapToGrid/>
      <w:spacing w:line="240" w:lineRule="auto"/>
      <w:ind w:firstLine="0" w:firstLineChars="0"/>
    </w:pPr>
    <w:rPr>
      <w:sz w:val="21"/>
      <w:szCs w:val="24"/>
    </w:rPr>
  </w:style>
  <w:style w:type="paragraph" w:customStyle="1" w:styleId="334">
    <w:name w:val="默认段落字体 Char Char Char Char Char"/>
    <w:basedOn w:val="1"/>
    <w:autoRedefine/>
    <w:qFormat/>
    <w:uiPriority w:val="0"/>
    <w:pPr>
      <w:adjustRightInd/>
    </w:pPr>
    <w:rPr>
      <w:rFonts w:eastAsia="仿宋_GB2312"/>
      <w:szCs w:val="24"/>
    </w:rPr>
  </w:style>
  <w:style w:type="paragraph" w:customStyle="1" w:styleId="335">
    <w:name w:val="xl45"/>
    <w:basedOn w:val="1"/>
    <w:autoRedefine/>
    <w:qFormat/>
    <w:uiPriority w:val="0"/>
    <w:pPr>
      <w:widowControl/>
      <w:pBdr>
        <w:left w:val="single" w:color="auto" w:sz="4" w:space="0"/>
        <w:right w:val="single" w:color="auto" w:sz="4" w:space="0"/>
      </w:pBdr>
      <w:adjustRightInd/>
      <w:snapToGrid/>
      <w:spacing w:before="100" w:beforeAutospacing="1" w:after="100" w:afterAutospacing="1" w:line="240" w:lineRule="auto"/>
      <w:ind w:firstLine="0" w:firstLineChars="0"/>
      <w:jc w:val="left"/>
    </w:pPr>
    <w:rPr>
      <w:rFonts w:hint="eastAsia" w:ascii="宋体" w:hAnsi="宋体"/>
      <w:kern w:val="0"/>
      <w:szCs w:val="24"/>
    </w:rPr>
  </w:style>
  <w:style w:type="paragraph" w:customStyle="1" w:styleId="336">
    <w:name w:val="xl73"/>
    <w:basedOn w:val="1"/>
    <w:autoRedefine/>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textAlignment w:val="center"/>
    </w:pPr>
    <w:rPr>
      <w:color w:val="FF0000"/>
      <w:kern w:val="0"/>
      <w:sz w:val="21"/>
      <w:szCs w:val="21"/>
    </w:rPr>
  </w:style>
  <w:style w:type="paragraph" w:customStyle="1" w:styleId="337">
    <w:name w:val="3 Char Char Char Char Char Char Char Char Char1 Char"/>
    <w:basedOn w:val="1"/>
    <w:autoRedefine/>
    <w:qFormat/>
    <w:uiPriority w:val="0"/>
    <w:pPr>
      <w:widowControl/>
      <w:adjustRightInd/>
      <w:spacing w:after="200"/>
      <w:jc w:val="left"/>
    </w:pPr>
    <w:rPr>
      <w:rFonts w:ascii="Calibri" w:hAnsi="Calibri" w:eastAsia="仿宋_GB2312"/>
      <w:kern w:val="0"/>
      <w:szCs w:val="24"/>
    </w:rPr>
  </w:style>
  <w:style w:type="paragraph" w:customStyle="1" w:styleId="338">
    <w:name w:val="样式 样式 标题 4 + 宋体 小四 首行缩进:  2 字符 行距: 固定值 18 磅 + 首行缩进:  2 字符1"/>
    <w:basedOn w:val="1"/>
    <w:next w:val="1"/>
    <w:autoRedefine/>
    <w:qFormat/>
    <w:uiPriority w:val="0"/>
    <w:pPr>
      <w:widowControl/>
      <w:adjustRightInd/>
      <w:snapToGrid/>
      <w:spacing w:before="120" w:after="100" w:line="400" w:lineRule="exact"/>
      <w:ind w:firstLine="0" w:firstLineChars="0"/>
      <w:outlineLvl w:val="3"/>
    </w:pPr>
    <w:rPr>
      <w:rFonts w:ascii="黑体" w:eastAsia="黑体"/>
      <w:color w:val="000000"/>
      <w:sz w:val="21"/>
    </w:rPr>
  </w:style>
  <w:style w:type="paragraph" w:customStyle="1" w:styleId="339">
    <w:name w:val="xl33"/>
    <w:basedOn w:val="1"/>
    <w:autoRedefine/>
    <w:qFormat/>
    <w:uiPriority w:val="0"/>
    <w:pPr>
      <w:widowControl/>
      <w:pBdr>
        <w:top w:val="single" w:color="auto" w:sz="4" w:space="0"/>
        <w:left w:val="single" w:color="auto" w:sz="4" w:space="0"/>
        <w:bottom w:val="single" w:color="auto" w:sz="4" w:space="0"/>
        <w:right w:val="single" w:color="auto" w:sz="8" w:space="0"/>
      </w:pBdr>
      <w:adjustRightInd/>
      <w:snapToGrid/>
      <w:spacing w:before="100" w:beforeAutospacing="1" w:after="100" w:afterAutospacing="1"/>
      <w:jc w:val="center"/>
    </w:pPr>
    <w:rPr>
      <w:rFonts w:ascii="Arial Unicode MS" w:hAnsi="Arial Unicode MS" w:eastAsia="Arial Unicode MS"/>
      <w:kern w:val="0"/>
      <w:sz w:val="20"/>
      <w:szCs w:val="22"/>
    </w:rPr>
  </w:style>
  <w:style w:type="paragraph" w:customStyle="1" w:styleId="340">
    <w:name w:val="五级条标题"/>
    <w:basedOn w:val="341"/>
    <w:next w:val="189"/>
    <w:autoRedefine/>
    <w:qFormat/>
    <w:uiPriority w:val="0"/>
    <w:pPr>
      <w:outlineLvl w:val="6"/>
    </w:pPr>
  </w:style>
  <w:style w:type="paragraph" w:customStyle="1" w:styleId="341">
    <w:name w:val="四级条标题"/>
    <w:basedOn w:val="1"/>
    <w:next w:val="189"/>
    <w:autoRedefine/>
    <w:qFormat/>
    <w:uiPriority w:val="0"/>
    <w:pPr>
      <w:widowControl/>
      <w:adjustRightInd/>
      <w:snapToGrid/>
      <w:spacing w:beforeLines="50" w:afterLines="50"/>
      <w:ind w:firstLine="0"/>
      <w:jc w:val="left"/>
      <w:outlineLvl w:val="5"/>
    </w:pPr>
    <w:rPr>
      <w:rFonts w:ascii="黑体" w:eastAsia="黑体"/>
      <w:kern w:val="0"/>
      <w:szCs w:val="21"/>
    </w:rPr>
  </w:style>
  <w:style w:type="paragraph" w:customStyle="1" w:styleId="342">
    <w:name w:val="TOC 标题1"/>
    <w:basedOn w:val="4"/>
    <w:next w:val="1"/>
    <w:autoRedefine/>
    <w:qFormat/>
    <w:uiPriority w:val="39"/>
    <w:pPr>
      <w:pageBreakBefore w:val="0"/>
      <w:widowControl/>
      <w:adjustRightInd/>
      <w:snapToGrid/>
      <w:spacing w:before="480" w:line="276" w:lineRule="auto"/>
      <w:jc w:val="left"/>
      <w:outlineLvl w:val="9"/>
    </w:pPr>
    <w:rPr>
      <w:rFonts w:ascii="Cambria" w:hAnsi="Cambria"/>
      <w:color w:val="21798E"/>
      <w:kern w:val="0"/>
      <w:sz w:val="28"/>
      <w:szCs w:val="28"/>
    </w:rPr>
  </w:style>
  <w:style w:type="paragraph" w:customStyle="1" w:styleId="343">
    <w:name w:val="2、节标题"/>
    <w:basedOn w:val="44"/>
    <w:autoRedefine/>
    <w:qFormat/>
    <w:uiPriority w:val="0"/>
    <w:pPr>
      <w:adjustRightInd/>
      <w:snapToGrid/>
      <w:spacing w:before="120" w:after="120" w:line="300" w:lineRule="auto"/>
      <w:ind w:firstLine="0" w:firstLineChars="0"/>
      <w:jc w:val="center"/>
      <w:outlineLvl w:val="1"/>
    </w:pPr>
    <w:rPr>
      <w:rFonts w:ascii="Times New Roman" w:hAnsi="Times New Roman"/>
      <w:sz w:val="28"/>
      <w:szCs w:val="20"/>
    </w:rPr>
  </w:style>
  <w:style w:type="paragraph" w:customStyle="1" w:styleId="344">
    <w:name w:val="样式 样式 首行缩进:  2 字符 + 首行缩进:  2 字符"/>
    <w:basedOn w:val="1"/>
    <w:autoRedefine/>
    <w:qFormat/>
    <w:uiPriority w:val="0"/>
    <w:pPr>
      <w:adjustRightInd/>
      <w:snapToGrid/>
      <w:spacing w:line="300" w:lineRule="auto"/>
      <w:ind w:firstLine="480"/>
    </w:pPr>
    <w:rPr>
      <w:sz w:val="28"/>
    </w:rPr>
  </w:style>
  <w:style w:type="paragraph" w:customStyle="1" w:styleId="345">
    <w:name w:val="bgbt3条标题"/>
    <w:basedOn w:val="1"/>
    <w:next w:val="1"/>
    <w:autoRedefine/>
    <w:qFormat/>
    <w:uiPriority w:val="0"/>
    <w:pPr>
      <w:adjustRightInd/>
      <w:snapToGrid/>
      <w:spacing w:before="120" w:after="60" w:line="240" w:lineRule="auto"/>
      <w:ind w:firstLine="510" w:firstLineChars="0"/>
      <w:outlineLvl w:val="2"/>
    </w:pPr>
    <w:rPr>
      <w:rFonts w:eastAsia="黑体"/>
      <w:sz w:val="28"/>
    </w:rPr>
  </w:style>
  <w:style w:type="paragraph" w:customStyle="1" w:styleId="346">
    <w:name w:val="xl23"/>
    <w:basedOn w:val="1"/>
    <w:autoRedefine/>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hint="eastAsia" w:ascii="宋体" w:hAnsi="宋体"/>
      <w:kern w:val="0"/>
      <w:szCs w:val="24"/>
    </w:rPr>
  </w:style>
  <w:style w:type="paragraph" w:customStyle="1" w:styleId="347">
    <w:name w:val="标题3"/>
    <w:basedOn w:val="1"/>
    <w:autoRedefine/>
    <w:qFormat/>
    <w:uiPriority w:val="0"/>
    <w:pPr>
      <w:adjustRightInd/>
      <w:snapToGrid/>
      <w:spacing w:before="160" w:after="160" w:line="240" w:lineRule="auto"/>
      <w:ind w:firstLine="562"/>
      <w:jc w:val="left"/>
      <w:outlineLvl w:val="2"/>
    </w:pPr>
    <w:rPr>
      <w:rFonts w:ascii="宋体" w:hAnsi="宋体"/>
      <w:b/>
      <w:bCs/>
      <w:color w:val="FF0000"/>
      <w:sz w:val="28"/>
    </w:rPr>
  </w:style>
  <w:style w:type="paragraph" w:customStyle="1" w:styleId="348">
    <w:name w:val="封面标准号1"/>
    <w:autoRedefine/>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349">
    <w:name w:val="xl75"/>
    <w:basedOn w:val="1"/>
    <w:autoRedefine/>
    <w:qFormat/>
    <w:uiPriority w:val="0"/>
    <w:pPr>
      <w:widowControl/>
      <w:pBdr>
        <w:left w:val="single" w:color="auto" w:sz="4" w:space="0"/>
        <w:right w:val="single" w:color="auto" w:sz="4" w:space="0"/>
      </w:pBdr>
      <w:adjustRightInd/>
      <w:snapToGrid/>
      <w:spacing w:before="100" w:beforeAutospacing="1" w:after="100" w:afterAutospacing="1" w:line="240" w:lineRule="auto"/>
      <w:ind w:firstLine="0" w:firstLineChars="0"/>
      <w:jc w:val="center"/>
      <w:textAlignment w:val="center"/>
    </w:pPr>
    <w:rPr>
      <w:color w:val="FF0000"/>
      <w:kern w:val="0"/>
      <w:sz w:val="21"/>
      <w:szCs w:val="21"/>
    </w:rPr>
  </w:style>
  <w:style w:type="paragraph" w:customStyle="1" w:styleId="350">
    <w:name w:val="Char2 Char Char Char1"/>
    <w:basedOn w:val="1"/>
    <w:autoRedefine/>
    <w:qFormat/>
    <w:uiPriority w:val="0"/>
    <w:pPr>
      <w:adjustRightInd/>
      <w:snapToGrid/>
    </w:pPr>
    <w:rPr>
      <w:rFonts w:ascii="宋体" w:hAnsi="宋体"/>
    </w:rPr>
  </w:style>
  <w:style w:type="paragraph" w:customStyle="1" w:styleId="351">
    <w:name w:val="Char Char Char1 Char Char Char Char Char Char Char1"/>
    <w:basedOn w:val="1"/>
    <w:autoRedefine/>
    <w:qFormat/>
    <w:uiPriority w:val="0"/>
    <w:pPr>
      <w:adjustRightInd/>
    </w:pPr>
    <w:rPr>
      <w:rFonts w:eastAsia="仿宋_GB2312"/>
      <w:szCs w:val="24"/>
    </w:rPr>
  </w:style>
  <w:style w:type="paragraph" w:customStyle="1" w:styleId="352">
    <w:name w:val="样式3（代正文）"/>
    <w:autoRedefine/>
    <w:qFormat/>
    <w:uiPriority w:val="0"/>
    <w:pPr>
      <w:widowControl w:val="0"/>
      <w:adjustRightInd w:val="0"/>
      <w:snapToGrid w:val="0"/>
      <w:spacing w:line="500" w:lineRule="exact"/>
      <w:ind w:firstLine="560" w:firstLineChars="200"/>
    </w:pPr>
    <w:rPr>
      <w:rFonts w:ascii="Times New Roman" w:hAnsi="Times New Roman" w:eastAsia="楷体_GB2312" w:cs="Times New Roman"/>
      <w:snapToGrid w:val="0"/>
      <w:sz w:val="28"/>
      <w:szCs w:val="28"/>
      <w:lang w:val="en-US" w:eastAsia="zh-CN" w:bidi="ar-SA"/>
    </w:rPr>
  </w:style>
  <w:style w:type="paragraph" w:customStyle="1" w:styleId="353">
    <w:name w:val="发布部门"/>
    <w:next w:val="189"/>
    <w:autoRedefine/>
    <w:qFormat/>
    <w:uiPriority w:val="0"/>
    <w:pPr>
      <w:framePr w:w="7433" w:h="585" w:hRule="exact" w:hSpace="180" w:vSpace="180" w:wrap="around" w:vAnchor="margin" w:hAnchor="margin" w:xAlign="center" w:y="14401" w:anchorLock="1"/>
      <w:jc w:val="center"/>
    </w:pPr>
    <w:rPr>
      <w:rFonts w:ascii="宋体" w:hAnsi="Times New Roman" w:eastAsia="宋体" w:cs="Times New Roman"/>
      <w:b/>
      <w:spacing w:val="20"/>
      <w:w w:val="135"/>
      <w:sz w:val="36"/>
      <w:lang w:val="en-US" w:eastAsia="zh-CN" w:bidi="ar-SA"/>
    </w:rPr>
  </w:style>
  <w:style w:type="paragraph" w:customStyle="1" w:styleId="354">
    <w:name w:val="表文"/>
    <w:basedOn w:val="1"/>
    <w:autoRedefine/>
    <w:qFormat/>
    <w:uiPriority w:val="0"/>
    <w:pPr>
      <w:adjustRightInd/>
      <w:snapToGrid/>
      <w:spacing w:line="240" w:lineRule="exact"/>
      <w:ind w:firstLine="0" w:firstLineChars="0"/>
      <w:jc w:val="center"/>
    </w:pPr>
    <w:rPr>
      <w:szCs w:val="24"/>
    </w:rPr>
  </w:style>
  <w:style w:type="paragraph" w:customStyle="1" w:styleId="355">
    <w:name w:val="正文文字缩进2"/>
    <w:basedOn w:val="50"/>
    <w:autoRedefine/>
    <w:qFormat/>
    <w:uiPriority w:val="0"/>
    <w:pPr>
      <w:widowControl/>
      <w:spacing w:line="360" w:lineRule="auto"/>
      <w:ind w:firstLine="560" w:firstLineChars="200"/>
      <w:jc w:val="left"/>
      <w:textAlignment w:val="center"/>
    </w:pPr>
    <w:rPr>
      <w:rFonts w:ascii="仿宋_GB2312" w:hAnsi="Calibri" w:eastAsia="仿宋_GB2312"/>
    </w:rPr>
  </w:style>
  <w:style w:type="paragraph" w:customStyle="1" w:styleId="356">
    <w:name w:val="标题四"/>
    <w:basedOn w:val="1"/>
    <w:autoRedefine/>
    <w:qFormat/>
    <w:uiPriority w:val="0"/>
    <w:pPr>
      <w:adjustRightInd/>
      <w:snapToGrid/>
      <w:spacing w:line="240" w:lineRule="auto"/>
      <w:ind w:firstLine="2530" w:firstLineChars="900"/>
    </w:pPr>
    <w:rPr>
      <w:rFonts w:ascii="宋体" w:hAnsi="宋体"/>
      <w:b/>
      <w:sz w:val="28"/>
      <w:szCs w:val="28"/>
    </w:rPr>
  </w:style>
  <w:style w:type="paragraph" w:customStyle="1" w:styleId="357">
    <w:name w:val="封面标准文稿类别"/>
    <w:autoRedefine/>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358">
    <w:name w:val="xl66"/>
    <w:basedOn w:val="1"/>
    <w:autoRedefine/>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textAlignment w:val="center"/>
    </w:pPr>
    <w:rPr>
      <w:b/>
      <w:bCs/>
      <w:color w:val="FF0000"/>
      <w:kern w:val="0"/>
      <w:sz w:val="21"/>
      <w:szCs w:val="21"/>
    </w:rPr>
  </w:style>
  <w:style w:type="paragraph" w:customStyle="1" w:styleId="359">
    <w:name w:val="样式7 Char Char"/>
    <w:basedOn w:val="1"/>
    <w:autoRedefine/>
    <w:qFormat/>
    <w:uiPriority w:val="0"/>
    <w:pPr>
      <w:adjustRightInd/>
      <w:snapToGrid/>
      <w:ind w:firstLine="480"/>
    </w:pPr>
    <w:rPr>
      <w:rFonts w:eastAsia="仿宋_GB2312"/>
      <w:szCs w:val="24"/>
    </w:rPr>
  </w:style>
  <w:style w:type="paragraph" w:customStyle="1" w:styleId="360">
    <w:name w:val="样式 小四 居中 首行缩进:  2 字符 行距: 固定值 26 磅"/>
    <w:basedOn w:val="1"/>
    <w:autoRedefine/>
    <w:qFormat/>
    <w:uiPriority w:val="0"/>
    <w:pPr>
      <w:adjustRightInd/>
      <w:snapToGrid/>
      <w:spacing w:line="520" w:lineRule="exact"/>
      <w:ind w:firstLine="0" w:firstLineChars="0"/>
      <w:jc w:val="center"/>
    </w:pPr>
    <w:rPr>
      <w:rFonts w:ascii="宋体" w:hAnsi="宋体"/>
      <w:snapToGrid w:val="0"/>
      <w:kern w:val="0"/>
    </w:rPr>
  </w:style>
  <w:style w:type="paragraph" w:customStyle="1" w:styleId="361">
    <w:name w:val="Char Char Char Char Char Char Char Char Char Char Char Char Char Char Char Char Char Char Char1"/>
    <w:basedOn w:val="1"/>
    <w:autoRedefine/>
    <w:qFormat/>
    <w:uiPriority w:val="0"/>
    <w:pPr>
      <w:adjustRightInd/>
      <w:snapToGrid/>
      <w:spacing w:line="240" w:lineRule="auto"/>
      <w:ind w:firstLine="0" w:firstLineChars="0"/>
    </w:pPr>
    <w:rPr>
      <w:sz w:val="21"/>
      <w:szCs w:val="24"/>
    </w:rPr>
  </w:style>
  <w:style w:type="paragraph" w:customStyle="1" w:styleId="362">
    <w:name w:val="xl82"/>
    <w:basedOn w:val="1"/>
    <w:autoRedefine/>
    <w:qFormat/>
    <w:uiPriority w:val="0"/>
    <w:pPr>
      <w:widowControl/>
      <w:pBdr>
        <w:top w:val="single" w:color="auto" w:sz="4" w:space="0"/>
        <w:bottom w:val="single" w:color="auto" w:sz="4" w:space="0"/>
        <w:right w:val="single" w:color="auto" w:sz="4" w:space="0"/>
      </w:pBdr>
      <w:shd w:val="clear" w:color="000000" w:fill="FFFFFF"/>
      <w:adjustRightInd/>
      <w:snapToGrid/>
      <w:spacing w:before="100" w:beforeAutospacing="1" w:after="100" w:afterAutospacing="1" w:line="240" w:lineRule="auto"/>
      <w:ind w:firstLine="0" w:firstLineChars="0"/>
      <w:jc w:val="center"/>
      <w:textAlignment w:val="center"/>
    </w:pPr>
    <w:rPr>
      <w:rFonts w:ascii="仿宋_GB2312" w:hAnsi="宋体" w:eastAsia="仿宋_GB2312" w:cs="宋体"/>
      <w:b/>
      <w:bCs/>
      <w:color w:val="FF0000"/>
      <w:kern w:val="0"/>
      <w:sz w:val="21"/>
      <w:szCs w:val="21"/>
    </w:rPr>
  </w:style>
  <w:style w:type="paragraph" w:customStyle="1" w:styleId="363">
    <w:name w:val="3 Char Char Char Char Char Char Char Char Char"/>
    <w:basedOn w:val="1"/>
    <w:autoRedefine/>
    <w:qFormat/>
    <w:uiPriority w:val="0"/>
    <w:pPr>
      <w:widowControl/>
      <w:adjustRightInd/>
      <w:spacing w:after="200"/>
      <w:jc w:val="left"/>
    </w:pPr>
    <w:rPr>
      <w:rFonts w:ascii="Calibri" w:hAnsi="Calibri" w:eastAsia="仿宋_GB2312"/>
      <w:kern w:val="0"/>
      <w:szCs w:val="22"/>
    </w:rPr>
  </w:style>
  <w:style w:type="paragraph" w:customStyle="1" w:styleId="364">
    <w:name w:val="Char11"/>
    <w:basedOn w:val="1"/>
    <w:autoRedefine/>
    <w:qFormat/>
    <w:uiPriority w:val="0"/>
    <w:pPr>
      <w:widowControl/>
      <w:adjustRightInd/>
      <w:snapToGrid/>
      <w:spacing w:after="200"/>
      <w:jc w:val="left"/>
    </w:pPr>
    <w:rPr>
      <w:rFonts w:ascii="宋体" w:hAnsi="宋体" w:cs="宋体"/>
      <w:kern w:val="0"/>
      <w:szCs w:val="24"/>
    </w:rPr>
  </w:style>
  <w:style w:type="paragraph" w:customStyle="1" w:styleId="365">
    <w:name w:val="默认段落字体 Para Char Char Char Char Char Char Char"/>
    <w:basedOn w:val="1"/>
    <w:autoRedefine/>
    <w:qFormat/>
    <w:uiPriority w:val="0"/>
    <w:pPr>
      <w:adjustRightInd/>
    </w:pPr>
    <w:rPr>
      <w:rFonts w:eastAsia="仿宋_GB2312"/>
      <w:szCs w:val="24"/>
    </w:rPr>
  </w:style>
  <w:style w:type="paragraph" w:customStyle="1" w:styleId="366">
    <w:name w:val="表格3 Char"/>
    <w:basedOn w:val="1"/>
    <w:autoRedefine/>
    <w:qFormat/>
    <w:uiPriority w:val="0"/>
    <w:pPr>
      <w:adjustRightInd/>
      <w:spacing w:line="240" w:lineRule="atLeast"/>
    </w:pPr>
    <w:rPr>
      <w:rFonts w:eastAsia="仿宋_GB2312"/>
      <w:color w:val="00B050"/>
      <w:kern w:val="0"/>
      <w:sz w:val="18"/>
      <w:szCs w:val="21"/>
    </w:rPr>
  </w:style>
  <w:style w:type="paragraph" w:customStyle="1" w:styleId="367">
    <w:name w:val="三级条标题"/>
    <w:basedOn w:val="368"/>
    <w:next w:val="189"/>
    <w:autoRedefine/>
    <w:qFormat/>
    <w:uiPriority w:val="0"/>
    <w:pPr>
      <w:spacing w:beforeLines="0" w:afterLines="0"/>
      <w:ind w:left="0"/>
      <w:outlineLvl w:val="4"/>
    </w:pPr>
    <w:rPr>
      <w:rFonts w:ascii="Times New Roman"/>
      <w:szCs w:val="20"/>
    </w:rPr>
  </w:style>
  <w:style w:type="paragraph" w:customStyle="1" w:styleId="368">
    <w:name w:val="二级条标题"/>
    <w:basedOn w:val="369"/>
    <w:next w:val="189"/>
    <w:autoRedefine/>
    <w:qFormat/>
    <w:uiPriority w:val="0"/>
    <w:pPr>
      <w:ind w:left="630"/>
      <w:outlineLvl w:val="3"/>
    </w:pPr>
  </w:style>
  <w:style w:type="paragraph" w:customStyle="1" w:styleId="369">
    <w:name w:val="一级条标题"/>
    <w:next w:val="189"/>
    <w:autoRedefine/>
    <w:qFormat/>
    <w:uiPriority w:val="0"/>
    <w:pPr>
      <w:spacing w:beforeLines="50" w:afterLines="50"/>
      <w:outlineLvl w:val="2"/>
    </w:pPr>
    <w:rPr>
      <w:rFonts w:ascii="黑体" w:hAnsi="Times New Roman" w:eastAsia="黑体" w:cs="Times New Roman"/>
      <w:sz w:val="21"/>
      <w:szCs w:val="21"/>
      <w:lang w:val="en-US" w:eastAsia="zh-CN" w:bidi="ar-SA"/>
    </w:rPr>
  </w:style>
  <w:style w:type="paragraph" w:customStyle="1" w:styleId="370">
    <w:name w:val="Char1 Char Char1"/>
    <w:basedOn w:val="1"/>
    <w:autoRedefine/>
    <w:qFormat/>
    <w:uiPriority w:val="0"/>
    <w:pPr>
      <w:adjustRightInd/>
      <w:snapToGrid/>
      <w:spacing w:line="240" w:lineRule="auto"/>
      <w:ind w:firstLine="0" w:firstLineChars="0"/>
    </w:pPr>
    <w:rPr>
      <w:sz w:val="21"/>
      <w:szCs w:val="24"/>
    </w:rPr>
  </w:style>
  <w:style w:type="paragraph" w:customStyle="1" w:styleId="371">
    <w:name w:val="标准标志"/>
    <w:next w:val="1"/>
    <w:autoRedefine/>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372">
    <w:name w:val="Char3"/>
    <w:basedOn w:val="1"/>
    <w:autoRedefine/>
    <w:qFormat/>
    <w:uiPriority w:val="0"/>
    <w:pPr>
      <w:adjustRightInd/>
      <w:snapToGrid/>
      <w:spacing w:line="240" w:lineRule="auto"/>
      <w:ind w:firstLine="0" w:firstLineChars="0"/>
    </w:pPr>
    <w:rPr>
      <w:sz w:val="21"/>
      <w:szCs w:val="24"/>
    </w:rPr>
  </w:style>
  <w:style w:type="paragraph" w:customStyle="1" w:styleId="373">
    <w:name w:val="扉页"/>
    <w:basedOn w:val="44"/>
    <w:autoRedefine/>
    <w:qFormat/>
    <w:uiPriority w:val="0"/>
    <w:pPr>
      <w:adjustRightInd/>
      <w:snapToGrid/>
      <w:spacing w:line="600" w:lineRule="auto"/>
      <w:ind w:firstLine="560"/>
      <w:textAlignment w:val="center"/>
    </w:pPr>
    <w:rPr>
      <w:rFonts w:ascii="Times New Roman" w:hAnsi="Times New Roman" w:eastAsia="华文中宋"/>
      <w:sz w:val="30"/>
      <w:szCs w:val="20"/>
    </w:rPr>
  </w:style>
  <w:style w:type="paragraph" w:customStyle="1" w:styleId="374">
    <w:name w:val="Char Char Char Char1 Char Char Char Char Char Char Char Char Char"/>
    <w:basedOn w:val="1"/>
    <w:autoRedefine/>
    <w:qFormat/>
    <w:uiPriority w:val="0"/>
    <w:pPr>
      <w:adjustRightInd/>
      <w:snapToGrid/>
      <w:spacing w:line="240" w:lineRule="auto"/>
      <w:ind w:firstLine="0" w:firstLineChars="0"/>
    </w:pPr>
    <w:rPr>
      <w:sz w:val="21"/>
      <w:szCs w:val="24"/>
    </w:rPr>
  </w:style>
  <w:style w:type="paragraph" w:customStyle="1" w:styleId="375">
    <w:name w:val="样式 标题 3 + 宋体 行距: 单倍行距"/>
    <w:basedOn w:val="1"/>
    <w:next w:val="1"/>
    <w:autoRedefine/>
    <w:qFormat/>
    <w:uiPriority w:val="0"/>
    <w:pPr>
      <w:widowControl/>
      <w:adjustRightInd/>
      <w:snapToGrid/>
      <w:spacing w:before="120" w:after="120"/>
      <w:ind w:firstLine="0" w:firstLineChars="0"/>
      <w:outlineLvl w:val="2"/>
    </w:pPr>
    <w:rPr>
      <w:rFonts w:ascii="宋体" w:hAnsi="宋体" w:eastAsia="黑体"/>
      <w:color w:val="000000"/>
    </w:rPr>
  </w:style>
  <w:style w:type="paragraph" w:customStyle="1" w:styleId="376">
    <w:name w:val="444 Char Char Char"/>
    <w:basedOn w:val="1"/>
    <w:next w:val="1"/>
    <w:autoRedefine/>
    <w:qFormat/>
    <w:uiPriority w:val="0"/>
    <w:pPr>
      <w:adjustRightInd/>
      <w:snapToGrid/>
    </w:pPr>
    <w:rPr>
      <w:sz w:val="21"/>
    </w:rPr>
  </w:style>
  <w:style w:type="paragraph" w:customStyle="1" w:styleId="377">
    <w:name w:val="PP 行"/>
    <w:basedOn w:val="57"/>
    <w:autoRedefine/>
    <w:qFormat/>
    <w:uiPriority w:val="0"/>
  </w:style>
  <w:style w:type="paragraph" w:customStyle="1" w:styleId="378">
    <w:name w:val="p15"/>
    <w:basedOn w:val="1"/>
    <w:autoRedefine/>
    <w:qFormat/>
    <w:uiPriority w:val="0"/>
    <w:pPr>
      <w:widowControl/>
      <w:adjustRightInd/>
      <w:snapToGrid/>
      <w:spacing w:line="408" w:lineRule="auto"/>
      <w:ind w:left="1" w:firstLine="0" w:firstLineChars="0"/>
      <w:textAlignment w:val="bottom"/>
    </w:pPr>
    <w:rPr>
      <w:rFonts w:ascii="宋体" w:hAnsi="宋体" w:cs="宋体"/>
      <w:color w:val="000000"/>
      <w:kern w:val="0"/>
      <w:sz w:val="21"/>
      <w:szCs w:val="21"/>
    </w:rPr>
  </w:style>
  <w:style w:type="paragraph" w:customStyle="1" w:styleId="379">
    <w:name w:val="xl46"/>
    <w:basedOn w:val="1"/>
    <w:autoRedefine/>
    <w:qFormat/>
    <w:uiPriority w:val="0"/>
    <w:pPr>
      <w:widowControl/>
      <w:pBdr>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left"/>
    </w:pPr>
    <w:rPr>
      <w:rFonts w:hint="eastAsia" w:ascii="宋体" w:hAnsi="宋体"/>
      <w:kern w:val="0"/>
      <w:szCs w:val="24"/>
    </w:rPr>
  </w:style>
  <w:style w:type="paragraph" w:customStyle="1" w:styleId="380">
    <w:name w:val="Char Char Char Char Char Char Char"/>
    <w:basedOn w:val="1"/>
    <w:autoRedefine/>
    <w:qFormat/>
    <w:uiPriority w:val="0"/>
    <w:pPr>
      <w:widowControl/>
      <w:adjustRightInd/>
      <w:snapToGrid/>
      <w:spacing w:after="200" w:line="276" w:lineRule="auto"/>
      <w:ind w:firstLine="0" w:firstLineChars="0"/>
      <w:jc w:val="left"/>
    </w:pPr>
    <w:rPr>
      <w:rFonts w:ascii="Calibri" w:hAnsi="Calibri"/>
      <w:kern w:val="0"/>
      <w:sz w:val="22"/>
      <w:szCs w:val="24"/>
    </w:rPr>
  </w:style>
  <w:style w:type="paragraph" w:customStyle="1" w:styleId="381">
    <w:name w:val="xl79"/>
    <w:basedOn w:val="1"/>
    <w:autoRedefine/>
    <w:qFormat/>
    <w:uiPriority w:val="0"/>
    <w:pPr>
      <w:widowControl/>
      <w:pBdr>
        <w:top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textAlignment w:val="center"/>
    </w:pPr>
    <w:rPr>
      <w:rFonts w:ascii="仿宋_GB2312" w:hAnsi="宋体" w:eastAsia="仿宋_GB2312" w:cs="宋体"/>
      <w:b/>
      <w:bCs/>
      <w:color w:val="FF0000"/>
      <w:kern w:val="0"/>
      <w:sz w:val="21"/>
      <w:szCs w:val="21"/>
    </w:rPr>
  </w:style>
  <w:style w:type="paragraph" w:customStyle="1" w:styleId="382">
    <w:name w:val="Char Char Char Char Char Char Char Char Char Char Char Char1 Char Char Char Char"/>
    <w:basedOn w:val="1"/>
    <w:autoRedefine/>
    <w:qFormat/>
    <w:uiPriority w:val="0"/>
    <w:pPr>
      <w:adjustRightInd/>
      <w:snapToGrid/>
      <w:spacing w:line="240" w:lineRule="auto"/>
      <w:ind w:firstLine="0" w:firstLineChars="0"/>
    </w:pPr>
    <w:rPr>
      <w:sz w:val="21"/>
      <w:szCs w:val="24"/>
    </w:rPr>
  </w:style>
  <w:style w:type="paragraph" w:customStyle="1" w:styleId="383">
    <w:name w:val="表样式"/>
    <w:basedOn w:val="1"/>
    <w:autoRedefine/>
    <w:qFormat/>
    <w:uiPriority w:val="0"/>
    <w:pPr>
      <w:adjustRightInd/>
      <w:snapToGrid/>
      <w:spacing w:line="240" w:lineRule="auto"/>
      <w:ind w:firstLine="0" w:firstLineChars="0"/>
      <w:jc w:val="center"/>
    </w:pPr>
    <w:rPr>
      <w:rFonts w:ascii="仿宋_GB2312" w:eastAsia="黑体"/>
      <w:sz w:val="21"/>
      <w:szCs w:val="24"/>
    </w:rPr>
  </w:style>
  <w:style w:type="paragraph" w:customStyle="1" w:styleId="384">
    <w:name w:val="Char Char Char Char11"/>
    <w:basedOn w:val="1"/>
    <w:autoRedefine/>
    <w:qFormat/>
    <w:uiPriority w:val="0"/>
    <w:pPr>
      <w:adjustRightInd/>
      <w:snapToGrid/>
      <w:spacing w:line="240" w:lineRule="auto"/>
      <w:ind w:firstLine="0" w:firstLineChars="0"/>
    </w:pPr>
    <w:rPr>
      <w:sz w:val="21"/>
      <w:szCs w:val="24"/>
    </w:rPr>
  </w:style>
  <w:style w:type="paragraph" w:customStyle="1" w:styleId="385">
    <w:name w:val="Char1 Char Char Char"/>
    <w:basedOn w:val="1"/>
    <w:autoRedefine/>
    <w:qFormat/>
    <w:uiPriority w:val="0"/>
    <w:pPr>
      <w:adjustRightInd/>
      <w:snapToGrid/>
      <w:spacing w:line="240" w:lineRule="auto"/>
      <w:ind w:firstLine="0" w:firstLineChars="0"/>
    </w:pPr>
    <w:rPr>
      <w:sz w:val="21"/>
      <w:szCs w:val="24"/>
    </w:rPr>
  </w:style>
  <w:style w:type="paragraph" w:customStyle="1" w:styleId="386">
    <w:name w:val="Char Char Char1 Char Char Char Char Char Char Char Char Char Char Char Char Char Char Char Char Char Char Char"/>
    <w:basedOn w:val="1"/>
    <w:next w:val="3"/>
    <w:autoRedefine/>
    <w:qFormat/>
    <w:uiPriority w:val="0"/>
    <w:pPr>
      <w:adjustRightInd/>
      <w:snapToGrid/>
      <w:spacing w:line="240" w:lineRule="auto"/>
      <w:ind w:firstLine="0" w:firstLineChars="0"/>
    </w:pPr>
    <w:rPr>
      <w:sz w:val="21"/>
    </w:rPr>
  </w:style>
  <w:style w:type="paragraph" w:customStyle="1" w:styleId="387">
    <w:name w:val="Char Char Char1 Char"/>
    <w:basedOn w:val="1"/>
    <w:autoRedefine/>
    <w:qFormat/>
    <w:uiPriority w:val="0"/>
    <w:pPr>
      <w:adjustRightInd/>
      <w:snapToGrid/>
      <w:spacing w:line="240" w:lineRule="auto"/>
      <w:ind w:firstLine="0" w:firstLineChars="0"/>
    </w:pPr>
    <w:rPr>
      <w:sz w:val="21"/>
      <w:szCs w:val="24"/>
    </w:rPr>
  </w:style>
  <w:style w:type="paragraph" w:customStyle="1" w:styleId="388">
    <w:name w:val="Char4"/>
    <w:basedOn w:val="1"/>
    <w:autoRedefine/>
    <w:qFormat/>
    <w:uiPriority w:val="0"/>
    <w:pPr>
      <w:adjustRightInd/>
      <w:snapToGrid/>
    </w:pPr>
    <w:rPr>
      <w:rFonts w:ascii="宋体" w:hAnsi="宋体" w:cs="宋体"/>
      <w:szCs w:val="24"/>
    </w:rPr>
  </w:style>
  <w:style w:type="paragraph" w:customStyle="1" w:styleId="389">
    <w:name w:val="大标二"/>
    <w:basedOn w:val="1"/>
    <w:autoRedefine/>
    <w:qFormat/>
    <w:uiPriority w:val="0"/>
    <w:pPr>
      <w:adjustRightInd/>
      <w:snapToGrid/>
      <w:spacing w:line="540" w:lineRule="exact"/>
      <w:ind w:firstLine="597"/>
    </w:pPr>
    <w:rPr>
      <w:rFonts w:eastAsia="黑体" w:cs="宋体"/>
      <w:sz w:val="28"/>
    </w:rPr>
  </w:style>
  <w:style w:type="paragraph" w:customStyle="1" w:styleId="390">
    <w:name w:val="表号"/>
    <w:autoRedefine/>
    <w:qFormat/>
    <w:uiPriority w:val="0"/>
    <w:rPr>
      <w:rFonts w:ascii="楷体_GB2312" w:hAnsi="Times New Roman" w:eastAsia="楷体_GB2312" w:cs="Times New Roman"/>
      <w:sz w:val="24"/>
      <w:szCs w:val="24"/>
      <w:lang w:val="en-US" w:eastAsia="zh-CN" w:bidi="ar-SA"/>
    </w:rPr>
  </w:style>
  <w:style w:type="paragraph" w:customStyle="1" w:styleId="391">
    <w:name w:val="表格1"/>
    <w:basedOn w:val="1"/>
    <w:autoRedefine/>
    <w:qFormat/>
    <w:uiPriority w:val="0"/>
    <w:pPr>
      <w:snapToGrid/>
      <w:spacing w:line="240" w:lineRule="auto"/>
      <w:ind w:firstLine="0" w:firstLineChars="0"/>
      <w:jc w:val="center"/>
    </w:pPr>
    <w:rPr>
      <w:rFonts w:ascii="宋体" w:hAnsi="宋体"/>
      <w:spacing w:val="-14"/>
      <w:kern w:val="0"/>
    </w:rPr>
  </w:style>
  <w:style w:type="paragraph" w:customStyle="1" w:styleId="392">
    <w:name w:val="1111"/>
    <w:basedOn w:val="1"/>
    <w:autoRedefine/>
    <w:qFormat/>
    <w:uiPriority w:val="0"/>
    <w:pPr>
      <w:ind w:firstLine="560"/>
    </w:pPr>
    <w:rPr>
      <w:rFonts w:hAnsi="宋体" w:cs="宋体"/>
      <w:sz w:val="28"/>
    </w:rPr>
  </w:style>
  <w:style w:type="paragraph" w:customStyle="1" w:styleId="393">
    <w:name w:val="於"/>
    <w:basedOn w:val="1"/>
    <w:autoRedefine/>
    <w:qFormat/>
    <w:uiPriority w:val="0"/>
    <w:pPr>
      <w:adjustRightInd/>
      <w:snapToGrid/>
    </w:pPr>
    <w:rPr>
      <w:sz w:val="30"/>
      <w:szCs w:val="24"/>
    </w:rPr>
  </w:style>
  <w:style w:type="paragraph" w:customStyle="1" w:styleId="394">
    <w:name w:val="样式 样式 标题 4 + 首行缩进:  2 字符 + (西文) Times New Roman (中文) SimSun 小四..."/>
    <w:basedOn w:val="1"/>
    <w:autoRedefine/>
    <w:qFormat/>
    <w:uiPriority w:val="0"/>
    <w:pPr>
      <w:keepNext/>
      <w:keepLines/>
      <w:adjustRightInd/>
      <w:snapToGrid/>
      <w:spacing w:line="300" w:lineRule="auto"/>
      <w:ind w:firstLine="0" w:firstLineChars="0"/>
      <w:jc w:val="left"/>
      <w:outlineLvl w:val="3"/>
    </w:pPr>
    <w:rPr>
      <w:rFonts w:eastAsia="黑体"/>
      <w:kern w:val="0"/>
      <w:sz w:val="32"/>
      <w:szCs w:val="32"/>
    </w:rPr>
  </w:style>
  <w:style w:type="paragraph" w:customStyle="1" w:styleId="395">
    <w:name w:val="节"/>
    <w:basedOn w:val="6"/>
    <w:autoRedefine/>
    <w:qFormat/>
    <w:uiPriority w:val="0"/>
    <w:pPr>
      <w:adjustRightInd/>
      <w:snapToGrid/>
      <w:spacing w:before="260" w:after="260"/>
      <w:ind w:firstLine="0" w:firstLineChars="0"/>
      <w:jc w:val="center"/>
    </w:pPr>
    <w:rPr>
      <w:rFonts w:ascii="宋体" w:hAnsi="宋体"/>
      <w:sz w:val="30"/>
    </w:rPr>
  </w:style>
  <w:style w:type="paragraph" w:customStyle="1" w:styleId="396">
    <w:name w:val="Char Char Char4 Char"/>
    <w:basedOn w:val="1"/>
    <w:autoRedefine/>
    <w:qFormat/>
    <w:uiPriority w:val="0"/>
    <w:pPr>
      <w:adjustRightInd/>
      <w:snapToGrid/>
      <w:spacing w:line="240" w:lineRule="auto"/>
      <w:ind w:firstLine="0" w:firstLineChars="0"/>
    </w:pPr>
    <w:rPr>
      <w:sz w:val="21"/>
      <w:szCs w:val="24"/>
    </w:rPr>
  </w:style>
  <w:style w:type="paragraph" w:customStyle="1" w:styleId="397">
    <w:name w:val="封面"/>
    <w:basedOn w:val="44"/>
    <w:autoRedefine/>
    <w:qFormat/>
    <w:uiPriority w:val="0"/>
    <w:pPr>
      <w:widowControl/>
      <w:adjustRightInd/>
      <w:snapToGrid/>
      <w:spacing w:after="200"/>
      <w:ind w:firstLine="0" w:firstLineChars="0"/>
      <w:jc w:val="center"/>
      <w:textAlignment w:val="center"/>
    </w:pPr>
    <w:rPr>
      <w:rFonts w:hAnsi="宋体" w:eastAsia="隶书"/>
      <w:sz w:val="52"/>
      <w:szCs w:val="20"/>
    </w:rPr>
  </w:style>
  <w:style w:type="paragraph" w:customStyle="1" w:styleId="398">
    <w:name w:val="综治报告"/>
    <w:basedOn w:val="399"/>
    <w:autoRedefine/>
    <w:qFormat/>
    <w:uiPriority w:val="0"/>
    <w:pPr>
      <w:ind w:firstLine="499"/>
    </w:pPr>
  </w:style>
  <w:style w:type="paragraph" w:customStyle="1" w:styleId="399">
    <w:name w:val="样式 样式2 + 宋体 首行缩进:  2 字符 行距: 1.5 倍行距"/>
    <w:basedOn w:val="162"/>
    <w:autoRedefine/>
    <w:qFormat/>
    <w:uiPriority w:val="0"/>
    <w:pPr>
      <w:tabs>
        <w:tab w:val="clear" w:pos="4153"/>
        <w:tab w:val="clear" w:pos="8306"/>
      </w:tabs>
      <w:adjustRightInd/>
      <w:snapToGrid/>
      <w:ind w:firstLine="582"/>
      <w:jc w:val="both"/>
    </w:pPr>
    <w:rPr>
      <w:rFonts w:ascii="宋体" w:hAnsi="宋体" w:cs="宋体"/>
      <w:w w:val="104"/>
      <w:kern w:val="0"/>
      <w:sz w:val="24"/>
      <w:szCs w:val="20"/>
    </w:rPr>
  </w:style>
  <w:style w:type="paragraph" w:customStyle="1" w:styleId="400">
    <w:name w:val="样式 小四 全部大写 居中 行距: 最小值 12 磅"/>
    <w:basedOn w:val="1"/>
    <w:autoRedefine/>
    <w:qFormat/>
    <w:uiPriority w:val="0"/>
    <w:pPr>
      <w:adjustRightInd/>
      <w:snapToGrid/>
      <w:spacing w:line="240" w:lineRule="atLeast"/>
      <w:ind w:firstLine="0" w:firstLineChars="0"/>
      <w:jc w:val="center"/>
    </w:pPr>
    <w:rPr>
      <w:rFonts w:cs="宋体"/>
      <w:szCs w:val="24"/>
    </w:rPr>
  </w:style>
  <w:style w:type="paragraph" w:customStyle="1" w:styleId="401">
    <w:name w:val="ab"/>
    <w:basedOn w:val="1"/>
    <w:autoRedefine/>
    <w:qFormat/>
    <w:uiPriority w:val="0"/>
    <w:pPr>
      <w:widowControl/>
      <w:adjustRightInd/>
      <w:snapToGrid/>
      <w:spacing w:before="30" w:after="135"/>
      <w:ind w:left="60" w:right="135" w:firstLine="420"/>
      <w:jc w:val="left"/>
      <w:textAlignment w:val="center"/>
    </w:pPr>
    <w:rPr>
      <w:rFonts w:ascii="宋体" w:hAnsi="宋体" w:eastAsia="华文中宋"/>
      <w:kern w:val="0"/>
      <w:sz w:val="28"/>
      <w:szCs w:val="22"/>
    </w:rPr>
  </w:style>
  <w:style w:type="paragraph" w:customStyle="1" w:styleId="402">
    <w:name w:val="text"/>
    <w:basedOn w:val="1"/>
    <w:autoRedefine/>
    <w:qFormat/>
    <w:uiPriority w:val="0"/>
    <w:pPr>
      <w:widowControl/>
      <w:adjustRightInd/>
      <w:snapToGrid/>
      <w:spacing w:before="100" w:beforeAutospacing="1" w:after="100" w:afterAutospacing="1" w:line="240" w:lineRule="auto"/>
      <w:ind w:firstLine="0" w:firstLineChars="0"/>
      <w:jc w:val="left"/>
    </w:pPr>
    <w:rPr>
      <w:rFonts w:ascii="宋体" w:hAnsi="宋体" w:cs="宋体"/>
      <w:color w:val="000000"/>
      <w:kern w:val="0"/>
      <w:sz w:val="18"/>
      <w:szCs w:val="18"/>
    </w:rPr>
  </w:style>
  <w:style w:type="paragraph" w:customStyle="1" w:styleId="403">
    <w:name w:val="pa-1"/>
    <w:basedOn w:val="1"/>
    <w:autoRedefine/>
    <w:qFormat/>
    <w:uiPriority w:val="0"/>
    <w:pPr>
      <w:widowControl/>
      <w:adjustRightInd/>
      <w:snapToGrid/>
      <w:spacing w:before="150" w:after="150" w:line="240" w:lineRule="auto"/>
      <w:ind w:firstLine="0" w:firstLineChars="0"/>
      <w:jc w:val="left"/>
    </w:pPr>
    <w:rPr>
      <w:rFonts w:ascii="宋体" w:hAnsi="宋体" w:cs="宋体"/>
      <w:kern w:val="0"/>
      <w:szCs w:val="24"/>
    </w:rPr>
  </w:style>
  <w:style w:type="paragraph" w:customStyle="1" w:styleId="404">
    <w:name w:val="自定义正文"/>
    <w:autoRedefine/>
    <w:qFormat/>
    <w:uiPriority w:val="0"/>
    <w:pPr>
      <w:widowControl w:val="0"/>
      <w:adjustRightInd w:val="0"/>
      <w:snapToGrid w:val="0"/>
      <w:spacing w:after="200" w:line="360" w:lineRule="auto"/>
      <w:ind w:firstLine="510"/>
      <w:jc w:val="both"/>
    </w:pPr>
    <w:rPr>
      <w:rFonts w:ascii="Calibri" w:hAnsi="Calibri" w:eastAsia="宋体" w:cs="Times New Roman"/>
      <w:spacing w:val="-2"/>
      <w:kern w:val="2"/>
      <w:sz w:val="28"/>
      <w:szCs w:val="22"/>
      <w:lang w:val="en-US" w:eastAsia="zh-CN" w:bidi="ar-SA"/>
    </w:rPr>
  </w:style>
  <w:style w:type="paragraph" w:customStyle="1" w:styleId="405">
    <w:name w:val="Char Char Char1 Char Char Char Char Char Char Char2"/>
    <w:basedOn w:val="1"/>
    <w:autoRedefine/>
    <w:qFormat/>
    <w:uiPriority w:val="0"/>
    <w:pPr>
      <w:adjustRightInd/>
    </w:pPr>
    <w:rPr>
      <w:rFonts w:eastAsia="仿宋_GB2312"/>
      <w:szCs w:val="24"/>
    </w:rPr>
  </w:style>
  <w:style w:type="paragraph" w:customStyle="1" w:styleId="406">
    <w:name w:val="xl31"/>
    <w:basedOn w:val="1"/>
    <w:autoRedefine/>
    <w:qFormat/>
    <w:uiPriority w:val="0"/>
    <w:pPr>
      <w:widowControl/>
      <w:pBdr>
        <w:top w:val="single" w:color="auto" w:sz="8" w:space="0"/>
        <w:left w:val="single" w:color="auto" w:sz="4" w:space="0"/>
        <w:bottom w:val="single" w:color="auto" w:sz="4" w:space="0"/>
        <w:right w:val="single" w:color="auto" w:sz="4" w:space="0"/>
      </w:pBdr>
      <w:adjustRightInd/>
      <w:snapToGrid/>
      <w:spacing w:before="100" w:beforeAutospacing="1" w:after="100" w:afterAutospacing="1"/>
      <w:jc w:val="center"/>
    </w:pPr>
    <w:rPr>
      <w:rFonts w:ascii="Arial Unicode MS" w:hAnsi="Arial Unicode MS" w:eastAsia="Arial Unicode MS"/>
      <w:kern w:val="0"/>
      <w:sz w:val="20"/>
      <w:szCs w:val="22"/>
    </w:rPr>
  </w:style>
  <w:style w:type="paragraph" w:customStyle="1" w:styleId="407">
    <w:name w:val="Char1 Char Char Char Char Char Char Char Char Char Char Char"/>
    <w:basedOn w:val="1"/>
    <w:autoRedefine/>
    <w:qFormat/>
    <w:uiPriority w:val="0"/>
    <w:pPr>
      <w:adjustRightInd/>
      <w:snapToGrid/>
      <w:spacing w:line="240" w:lineRule="auto"/>
      <w:ind w:firstLine="0" w:firstLineChars="0"/>
    </w:pPr>
    <w:rPr>
      <w:sz w:val="21"/>
      <w:szCs w:val="24"/>
    </w:rPr>
  </w:style>
  <w:style w:type="paragraph" w:customStyle="1" w:styleId="408">
    <w:name w:val="样式 样式2 + 宋体 首行缩进:  2 字符3"/>
    <w:basedOn w:val="162"/>
    <w:autoRedefine/>
    <w:qFormat/>
    <w:uiPriority w:val="0"/>
    <w:pPr>
      <w:tabs>
        <w:tab w:val="clear" w:pos="4153"/>
        <w:tab w:val="clear" w:pos="8306"/>
      </w:tabs>
      <w:adjustRightInd/>
      <w:snapToGrid/>
      <w:ind w:firstLine="200"/>
      <w:jc w:val="both"/>
    </w:pPr>
    <w:rPr>
      <w:rFonts w:ascii="宋体" w:hAnsi="宋体" w:cs="宋体"/>
      <w:sz w:val="28"/>
      <w:szCs w:val="20"/>
    </w:rPr>
  </w:style>
  <w:style w:type="paragraph" w:customStyle="1" w:styleId="409">
    <w:name w:val="font9"/>
    <w:basedOn w:val="1"/>
    <w:autoRedefine/>
    <w:qFormat/>
    <w:uiPriority w:val="0"/>
    <w:pPr>
      <w:widowControl/>
      <w:adjustRightInd/>
      <w:snapToGrid/>
      <w:spacing w:before="100" w:beforeAutospacing="1" w:after="100" w:afterAutospacing="1" w:line="240" w:lineRule="auto"/>
      <w:ind w:firstLine="0" w:firstLineChars="0"/>
      <w:jc w:val="left"/>
    </w:pPr>
    <w:rPr>
      <w:rFonts w:ascii="仿宋_GB2312" w:hAnsi="宋体" w:eastAsia="仿宋_GB2312" w:cs="宋体"/>
      <w:b/>
      <w:bCs/>
      <w:color w:val="FF0000"/>
      <w:kern w:val="0"/>
      <w:sz w:val="21"/>
      <w:szCs w:val="21"/>
    </w:rPr>
  </w:style>
  <w:style w:type="paragraph" w:customStyle="1" w:styleId="410">
    <w:name w:val="Char Char Char1 Char Char Char Char Char Char Char Char Char Char Char Char Char Char Char Char Char Char Char1"/>
    <w:basedOn w:val="1"/>
    <w:next w:val="3"/>
    <w:autoRedefine/>
    <w:qFormat/>
    <w:uiPriority w:val="0"/>
    <w:pPr>
      <w:adjustRightInd/>
      <w:snapToGrid/>
      <w:spacing w:line="240" w:lineRule="auto"/>
      <w:ind w:firstLine="0" w:firstLineChars="0"/>
    </w:pPr>
    <w:rPr>
      <w:sz w:val="21"/>
    </w:rPr>
  </w:style>
  <w:style w:type="paragraph" w:styleId="411">
    <w:name w:val="List Paragraph"/>
    <w:basedOn w:val="1"/>
    <w:autoRedefine/>
    <w:qFormat/>
    <w:uiPriority w:val="0"/>
    <w:pPr>
      <w:ind w:firstLine="420"/>
    </w:pPr>
  </w:style>
  <w:style w:type="paragraph" w:customStyle="1" w:styleId="412">
    <w:name w:val="xl70"/>
    <w:basedOn w:val="1"/>
    <w:autoRedefine/>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textAlignment w:val="center"/>
    </w:pPr>
    <w:rPr>
      <w:rFonts w:ascii="仿宋_GB2312" w:hAnsi="宋体" w:eastAsia="仿宋_GB2312" w:cs="宋体"/>
      <w:color w:val="FF0000"/>
      <w:kern w:val="0"/>
      <w:sz w:val="21"/>
      <w:szCs w:val="21"/>
    </w:rPr>
  </w:style>
  <w:style w:type="paragraph" w:customStyle="1" w:styleId="413">
    <w:name w:val="样式 样式2 + 宋体 首行缩进:  2 字符"/>
    <w:basedOn w:val="162"/>
    <w:autoRedefine/>
    <w:qFormat/>
    <w:uiPriority w:val="0"/>
    <w:pPr>
      <w:tabs>
        <w:tab w:val="clear" w:pos="4153"/>
        <w:tab w:val="clear" w:pos="8306"/>
      </w:tabs>
      <w:adjustRightInd/>
      <w:snapToGrid/>
      <w:spacing w:line="480" w:lineRule="exact"/>
      <w:ind w:firstLine="560"/>
      <w:jc w:val="both"/>
    </w:pPr>
    <w:rPr>
      <w:rFonts w:ascii="宋体" w:hAnsi="宋体" w:cs="宋体"/>
      <w:sz w:val="24"/>
      <w:szCs w:val="20"/>
    </w:rPr>
  </w:style>
  <w:style w:type="paragraph" w:customStyle="1" w:styleId="414">
    <w:name w:val="Char Char Char Char Char Char Char1"/>
    <w:basedOn w:val="1"/>
    <w:autoRedefine/>
    <w:qFormat/>
    <w:uiPriority w:val="0"/>
    <w:pPr>
      <w:adjustRightInd/>
      <w:snapToGrid/>
      <w:spacing w:beforeLines="100" w:afterLines="100"/>
    </w:pPr>
    <w:rPr>
      <w:rFonts w:ascii="宋体" w:hAnsi="宋体" w:cs="宋体"/>
      <w:szCs w:val="24"/>
    </w:rPr>
  </w:style>
  <w:style w:type="paragraph" w:customStyle="1" w:styleId="415">
    <w:name w:val="铝土矿正文"/>
    <w:basedOn w:val="1"/>
    <w:autoRedefine/>
    <w:qFormat/>
    <w:uiPriority w:val="0"/>
    <w:pPr>
      <w:adjustRightInd/>
      <w:snapToGrid/>
      <w:spacing w:line="600" w:lineRule="exact"/>
    </w:pPr>
    <w:rPr>
      <w:rFonts w:eastAsia="仿宋_GB2312"/>
      <w:sz w:val="28"/>
      <w:szCs w:val="24"/>
    </w:rPr>
  </w:style>
  <w:style w:type="paragraph" w:customStyle="1" w:styleId="416">
    <w:name w:val="表格2"/>
    <w:basedOn w:val="1"/>
    <w:autoRedefine/>
    <w:qFormat/>
    <w:uiPriority w:val="0"/>
    <w:pPr>
      <w:autoSpaceDE w:val="0"/>
      <w:autoSpaceDN w:val="0"/>
      <w:snapToGrid/>
      <w:spacing w:line="360" w:lineRule="exact"/>
      <w:ind w:firstLine="1470" w:firstLineChars="525"/>
    </w:pPr>
    <w:rPr>
      <w:rFonts w:ascii="宋体" w:hAnsi="宋体"/>
      <w:kern w:val="0"/>
      <w:sz w:val="28"/>
    </w:rPr>
  </w:style>
  <w:style w:type="paragraph" w:customStyle="1" w:styleId="417">
    <w:name w:val="样式 样式 标题 3 + 首行缩进:  1.13 厘米 段前: 12 磅 段后: 12 磅 行距: 固定值 25 磅 + (中文..."/>
    <w:basedOn w:val="418"/>
    <w:autoRedefine/>
    <w:qFormat/>
    <w:uiPriority w:val="0"/>
  </w:style>
  <w:style w:type="paragraph" w:customStyle="1" w:styleId="418">
    <w:name w:val="样式 标题 3 + 首行缩进:  1.13 厘米 段前: 12 磅 段后: 12 磅 行距: 固定值 25 磅"/>
    <w:basedOn w:val="6"/>
    <w:autoRedefine/>
    <w:qFormat/>
    <w:uiPriority w:val="0"/>
    <w:pPr>
      <w:widowControl/>
      <w:adjustRightInd/>
      <w:snapToGrid/>
      <w:spacing w:before="240" w:after="240" w:line="500" w:lineRule="exact"/>
      <w:jc w:val="left"/>
    </w:pPr>
    <w:rPr>
      <w:rFonts w:ascii="Cambria" w:hAnsi="Cambria" w:eastAsia="黑体"/>
      <w:color w:val="2DA2BF"/>
      <w:kern w:val="0"/>
      <w:sz w:val="30"/>
      <w:szCs w:val="20"/>
    </w:rPr>
  </w:style>
  <w:style w:type="paragraph" w:customStyle="1" w:styleId="419">
    <w:name w:val="Char2 Char Char Char11"/>
    <w:basedOn w:val="1"/>
    <w:autoRedefine/>
    <w:qFormat/>
    <w:uiPriority w:val="0"/>
    <w:pPr>
      <w:widowControl/>
      <w:adjustRightInd/>
      <w:snapToGrid/>
      <w:spacing w:after="200"/>
      <w:jc w:val="left"/>
    </w:pPr>
    <w:rPr>
      <w:rFonts w:ascii="宋体" w:hAnsi="宋体"/>
      <w:kern w:val="0"/>
      <w:szCs w:val="22"/>
    </w:rPr>
  </w:style>
  <w:style w:type="paragraph" w:customStyle="1" w:styleId="420">
    <w:name w:val="表格"/>
    <w:basedOn w:val="1"/>
    <w:autoRedefine/>
    <w:qFormat/>
    <w:uiPriority w:val="0"/>
    <w:pPr>
      <w:autoSpaceDE w:val="0"/>
      <w:autoSpaceDN w:val="0"/>
      <w:snapToGrid/>
      <w:spacing w:line="320" w:lineRule="exact"/>
      <w:ind w:firstLine="0"/>
    </w:pPr>
    <w:rPr>
      <w:rFonts w:ascii="宋体"/>
      <w:color w:val="000000"/>
      <w:spacing w:val="-20"/>
      <w:kern w:val="0"/>
    </w:rPr>
  </w:style>
  <w:style w:type="paragraph" w:customStyle="1" w:styleId="421">
    <w:name w:val="xl80"/>
    <w:basedOn w:val="1"/>
    <w:autoRedefine/>
    <w:qFormat/>
    <w:uiPriority w:val="0"/>
    <w:pPr>
      <w:widowControl/>
      <w:pBdr>
        <w:top w:val="single" w:color="auto" w:sz="4" w:space="0"/>
        <w:left w:val="single" w:color="auto" w:sz="4" w:space="0"/>
        <w:bottom w:val="single" w:color="auto" w:sz="4" w:space="0"/>
      </w:pBdr>
      <w:shd w:val="clear" w:color="000000" w:fill="FFFFFF"/>
      <w:adjustRightInd/>
      <w:snapToGrid/>
      <w:spacing w:before="100" w:beforeAutospacing="1" w:after="100" w:afterAutospacing="1" w:line="240" w:lineRule="auto"/>
      <w:ind w:firstLine="0" w:firstLineChars="0"/>
      <w:jc w:val="center"/>
      <w:textAlignment w:val="center"/>
    </w:pPr>
    <w:rPr>
      <w:rFonts w:ascii="仿宋_GB2312" w:hAnsi="宋体" w:eastAsia="仿宋_GB2312" w:cs="宋体"/>
      <w:b/>
      <w:bCs/>
      <w:color w:val="FF0000"/>
      <w:kern w:val="0"/>
      <w:sz w:val="21"/>
      <w:szCs w:val="21"/>
    </w:rPr>
  </w:style>
  <w:style w:type="paragraph" w:customStyle="1" w:styleId="422">
    <w:name w:val="标题6"/>
    <w:basedOn w:val="9"/>
    <w:autoRedefine/>
    <w:qFormat/>
    <w:uiPriority w:val="0"/>
    <w:pPr>
      <w:widowControl w:val="0"/>
      <w:spacing w:before="240" w:after="64" w:line="319" w:lineRule="auto"/>
      <w:ind w:firstLine="3286" w:firstLineChars="1091"/>
      <w:jc w:val="center"/>
    </w:pPr>
    <w:rPr>
      <w:rFonts w:ascii="Arial" w:hAnsi="Arial"/>
      <w:b/>
      <w:i w:val="0"/>
      <w:iCs w:val="0"/>
      <w:color w:val="auto"/>
      <w:kern w:val="2"/>
      <w:sz w:val="30"/>
    </w:rPr>
  </w:style>
  <w:style w:type="paragraph" w:customStyle="1" w:styleId="423">
    <w:name w:val="1.3行"/>
    <w:basedOn w:val="303"/>
    <w:autoRedefine/>
    <w:qFormat/>
    <w:uiPriority w:val="0"/>
    <w:pPr>
      <w:ind w:firstLine="482"/>
    </w:pPr>
    <w:rPr>
      <w:b/>
      <w:bCs/>
      <w:color w:val="000000"/>
      <w:sz w:val="24"/>
      <w:szCs w:val="24"/>
    </w:rPr>
  </w:style>
  <w:style w:type="paragraph" w:customStyle="1" w:styleId="424">
    <w:name w:val="xl74"/>
    <w:basedOn w:val="1"/>
    <w:autoRedefine/>
    <w:qFormat/>
    <w:uiPriority w:val="0"/>
    <w:pPr>
      <w:widowControl/>
      <w:pBdr>
        <w:left w:val="single" w:color="auto" w:sz="4" w:space="0"/>
        <w:right w:val="single" w:color="auto" w:sz="4" w:space="0"/>
      </w:pBdr>
      <w:adjustRightInd/>
      <w:snapToGrid/>
      <w:spacing w:before="100" w:beforeAutospacing="1" w:after="100" w:afterAutospacing="1" w:line="240" w:lineRule="auto"/>
      <w:ind w:firstLine="0" w:firstLineChars="0"/>
      <w:jc w:val="center"/>
      <w:textAlignment w:val="center"/>
    </w:pPr>
    <w:rPr>
      <w:rFonts w:ascii="宋体" w:hAnsi="宋体" w:cs="宋体"/>
      <w:color w:val="FF0000"/>
      <w:kern w:val="0"/>
      <w:sz w:val="21"/>
      <w:szCs w:val="21"/>
    </w:rPr>
  </w:style>
  <w:style w:type="paragraph" w:customStyle="1" w:styleId="425">
    <w:name w:val="Char1 Char Char11"/>
    <w:basedOn w:val="1"/>
    <w:autoRedefine/>
    <w:qFormat/>
    <w:uiPriority w:val="0"/>
    <w:pPr>
      <w:adjustRightInd/>
      <w:snapToGrid/>
      <w:spacing w:line="240" w:lineRule="auto"/>
      <w:ind w:firstLine="0" w:firstLineChars="0"/>
    </w:pPr>
    <w:rPr>
      <w:sz w:val="21"/>
      <w:szCs w:val="24"/>
    </w:rPr>
  </w:style>
  <w:style w:type="paragraph" w:customStyle="1" w:styleId="426">
    <w:name w:val="正文1 Char Char Char"/>
    <w:autoRedefine/>
    <w:qFormat/>
    <w:uiPriority w:val="0"/>
    <w:pPr>
      <w:spacing w:before="240" w:after="240" w:line="360" w:lineRule="auto"/>
      <w:ind w:firstLine="200" w:firstLineChars="200"/>
      <w:jc w:val="both"/>
    </w:pPr>
    <w:rPr>
      <w:rFonts w:ascii="Calibri" w:hAnsi="Calibri" w:eastAsia="仿宋_GB2312" w:cs="Times New Roman"/>
      <w:kern w:val="2"/>
      <w:sz w:val="24"/>
      <w:szCs w:val="22"/>
      <w:lang w:val="en-US" w:eastAsia="zh-CN" w:bidi="ar-SA"/>
    </w:rPr>
  </w:style>
  <w:style w:type="paragraph" w:customStyle="1" w:styleId="427">
    <w:name w:val="Char Char Char Char Char Char Char Char Char Char Char Char Char Char Char Char"/>
    <w:basedOn w:val="1"/>
    <w:autoRedefine/>
    <w:qFormat/>
    <w:uiPriority w:val="0"/>
    <w:pPr>
      <w:adjustRightInd/>
      <w:snapToGrid/>
      <w:spacing w:line="240" w:lineRule="auto"/>
      <w:ind w:firstLine="0" w:firstLineChars="0"/>
    </w:pPr>
    <w:rPr>
      <w:sz w:val="21"/>
      <w:szCs w:val="24"/>
    </w:rPr>
  </w:style>
  <w:style w:type="paragraph" w:customStyle="1" w:styleId="428">
    <w:name w:val="xl24"/>
    <w:basedOn w:val="1"/>
    <w:autoRedefine/>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jc w:val="center"/>
    </w:pPr>
    <w:rPr>
      <w:rFonts w:ascii="Arial Unicode MS" w:hAnsi="Arial Unicode MS" w:eastAsia="Arial Unicode MS"/>
      <w:kern w:val="0"/>
      <w:sz w:val="20"/>
      <w:szCs w:val="22"/>
    </w:rPr>
  </w:style>
  <w:style w:type="paragraph" w:customStyle="1" w:styleId="429">
    <w:name w:val="标准书脚_奇数页"/>
    <w:autoRedefine/>
    <w:qFormat/>
    <w:uiPriority w:val="0"/>
    <w:pPr>
      <w:spacing w:before="120"/>
      <w:jc w:val="right"/>
    </w:pPr>
    <w:rPr>
      <w:rFonts w:ascii="Times New Roman" w:hAnsi="Times New Roman" w:eastAsia="宋体" w:cs="Times New Roman"/>
      <w:sz w:val="18"/>
      <w:lang w:val="en-US" w:eastAsia="zh-CN" w:bidi="ar-SA"/>
    </w:rPr>
  </w:style>
  <w:style w:type="paragraph" w:customStyle="1" w:styleId="430">
    <w:name w:val="样式 (中文) 仿宋_GB2312 行距: 1.5 倍行距 首行缩进:  2 字符"/>
    <w:basedOn w:val="1"/>
    <w:autoRedefine/>
    <w:qFormat/>
    <w:uiPriority w:val="0"/>
    <w:pPr>
      <w:adjustRightInd/>
      <w:snapToGrid/>
    </w:pPr>
    <w:rPr>
      <w:rFonts w:eastAsia="仿宋_GB2312" w:cs="宋体"/>
      <w:color w:val="00B050"/>
    </w:rPr>
  </w:style>
  <w:style w:type="paragraph" w:customStyle="1" w:styleId="431">
    <w:name w:val="xl25"/>
    <w:basedOn w:val="1"/>
    <w:autoRedefine/>
    <w:qFormat/>
    <w:uiPriority w:val="0"/>
    <w:pPr>
      <w:widowControl/>
      <w:adjustRightInd/>
      <w:snapToGrid/>
      <w:spacing w:before="100" w:beforeAutospacing="1" w:after="100" w:afterAutospacing="1" w:line="240" w:lineRule="auto"/>
      <w:ind w:firstLine="0" w:firstLineChars="0"/>
      <w:jc w:val="center"/>
      <w:textAlignment w:val="center"/>
    </w:pPr>
    <w:rPr>
      <w:rFonts w:ascii="Arial Unicode MS" w:hAnsi="Arial Unicode MS" w:eastAsia="Arial Unicode MS" w:cs="Arial Unicode MS"/>
      <w:kern w:val="0"/>
      <w:szCs w:val="24"/>
    </w:rPr>
  </w:style>
  <w:style w:type="paragraph" w:customStyle="1" w:styleId="432">
    <w:name w:val="xl39"/>
    <w:basedOn w:val="1"/>
    <w:autoRedefine/>
    <w:qFormat/>
    <w:uiPriority w:val="0"/>
    <w:pPr>
      <w:widowControl/>
      <w:pBdr>
        <w:left w:val="single" w:color="auto" w:sz="8" w:space="0"/>
        <w:bottom w:val="single" w:color="auto" w:sz="4" w:space="0"/>
        <w:right w:val="single" w:color="auto" w:sz="4" w:space="0"/>
      </w:pBdr>
      <w:adjustRightInd/>
      <w:snapToGrid/>
      <w:spacing w:before="100" w:beforeAutospacing="1" w:after="100" w:afterAutospacing="1"/>
      <w:jc w:val="center"/>
    </w:pPr>
    <w:rPr>
      <w:rFonts w:ascii="Arial Unicode MS" w:hAnsi="Arial Unicode MS" w:eastAsia="Arial Unicode MS"/>
      <w:kern w:val="0"/>
      <w:szCs w:val="22"/>
    </w:rPr>
  </w:style>
  <w:style w:type="paragraph" w:customStyle="1" w:styleId="433">
    <w:name w:val="Char Char Char Char Char Char Char Char Char Char Char Char1 Char Char Char Char1"/>
    <w:basedOn w:val="1"/>
    <w:autoRedefine/>
    <w:qFormat/>
    <w:uiPriority w:val="0"/>
    <w:pPr>
      <w:adjustRightInd/>
      <w:snapToGrid/>
      <w:spacing w:line="240" w:lineRule="auto"/>
      <w:ind w:firstLine="0" w:firstLineChars="0"/>
    </w:pPr>
    <w:rPr>
      <w:sz w:val="21"/>
      <w:szCs w:val="24"/>
    </w:rPr>
  </w:style>
  <w:style w:type="paragraph" w:customStyle="1" w:styleId="434">
    <w:name w:val="标1"/>
    <w:basedOn w:val="1"/>
    <w:next w:val="1"/>
    <w:autoRedefine/>
    <w:qFormat/>
    <w:uiPriority w:val="0"/>
    <w:pPr>
      <w:adjustRightInd/>
      <w:snapToGrid/>
      <w:jc w:val="center"/>
    </w:pPr>
    <w:rPr>
      <w:rFonts w:ascii="宋体" w:hAnsi="宋体" w:eastAsia="黑体" w:cs="宋体"/>
      <w:sz w:val="32"/>
      <w:szCs w:val="24"/>
    </w:rPr>
  </w:style>
  <w:style w:type="paragraph" w:customStyle="1" w:styleId="435">
    <w:name w:val="Char Char Char1 Char Char Char Char Char Char Char Char Char"/>
    <w:basedOn w:val="1"/>
    <w:autoRedefine/>
    <w:qFormat/>
    <w:uiPriority w:val="0"/>
    <w:pPr>
      <w:adjustRightInd/>
      <w:snapToGrid/>
      <w:spacing w:line="240" w:lineRule="auto"/>
      <w:ind w:firstLine="0" w:firstLineChars="0"/>
    </w:pPr>
    <w:rPr>
      <w:sz w:val="44"/>
    </w:rPr>
  </w:style>
  <w:style w:type="paragraph" w:customStyle="1" w:styleId="436">
    <w:name w:val="bgbt副标题"/>
    <w:basedOn w:val="1"/>
    <w:next w:val="1"/>
    <w:autoRedefine/>
    <w:qFormat/>
    <w:uiPriority w:val="0"/>
    <w:pPr>
      <w:adjustRightInd/>
      <w:snapToGrid/>
      <w:spacing w:line="240" w:lineRule="auto"/>
      <w:ind w:firstLine="0" w:firstLineChars="0"/>
      <w:jc w:val="center"/>
    </w:pPr>
    <w:rPr>
      <w:rFonts w:eastAsia="黑体"/>
      <w:sz w:val="32"/>
    </w:rPr>
  </w:style>
  <w:style w:type="paragraph" w:customStyle="1" w:styleId="437">
    <w:name w:val="正文+宋体"/>
    <w:basedOn w:val="1"/>
    <w:autoRedefine/>
    <w:qFormat/>
    <w:uiPriority w:val="0"/>
    <w:pPr>
      <w:adjustRightInd/>
      <w:snapToGrid/>
      <w:ind w:firstLine="560"/>
    </w:pPr>
    <w:rPr>
      <w:sz w:val="28"/>
    </w:rPr>
  </w:style>
  <w:style w:type="paragraph" w:customStyle="1" w:styleId="438">
    <w:name w:val="brdrw15brsp20 tqctx4153t"/>
    <w:autoRedefine/>
    <w:qFormat/>
    <w:uiPriority w:val="0"/>
    <w:pPr>
      <w:widowControl w:val="0"/>
      <w:pBdr>
        <w:bottom w:val="single" w:color="auto" w:sz="6" w:space="0"/>
      </w:pBdr>
      <w:adjustRightInd w:val="0"/>
      <w:spacing w:line="312" w:lineRule="atLeast"/>
      <w:jc w:val="center"/>
      <w:textAlignment w:val="baseline"/>
    </w:pPr>
    <w:rPr>
      <w:rFonts w:ascii="Times New Roman" w:hAnsi="Times New Roman" w:eastAsia="宋体" w:cs="Times New Roman"/>
      <w:sz w:val="21"/>
      <w:lang w:val="en-US" w:eastAsia="zh-CN" w:bidi="ar-SA"/>
    </w:rPr>
  </w:style>
  <w:style w:type="paragraph" w:customStyle="1" w:styleId="439">
    <w:name w:val="3 Char Char Char Char Char Char Char Char Char1"/>
    <w:basedOn w:val="1"/>
    <w:autoRedefine/>
    <w:qFormat/>
    <w:uiPriority w:val="0"/>
    <w:pPr>
      <w:widowControl/>
      <w:adjustRightInd/>
      <w:spacing w:after="200"/>
      <w:jc w:val="left"/>
    </w:pPr>
    <w:rPr>
      <w:rFonts w:ascii="Calibri" w:hAnsi="Calibri" w:eastAsia="仿宋_GB2312"/>
      <w:kern w:val="0"/>
      <w:szCs w:val="22"/>
    </w:rPr>
  </w:style>
  <w:style w:type="paragraph" w:customStyle="1" w:styleId="440">
    <w:name w:val="xl30"/>
    <w:basedOn w:val="1"/>
    <w:autoRedefine/>
    <w:qFormat/>
    <w:uiPriority w:val="0"/>
    <w:pPr>
      <w:widowControl/>
      <w:pBdr>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pPr>
    <w:rPr>
      <w:rFonts w:ascii="宋体" w:hAnsi="宋体"/>
      <w:kern w:val="0"/>
      <w:szCs w:val="24"/>
    </w:rPr>
  </w:style>
  <w:style w:type="paragraph" w:customStyle="1" w:styleId="441">
    <w:name w:val="0"/>
    <w:basedOn w:val="1"/>
    <w:autoRedefine/>
    <w:qFormat/>
    <w:uiPriority w:val="0"/>
    <w:pPr>
      <w:widowControl/>
      <w:adjustRightInd/>
      <w:spacing w:line="240" w:lineRule="auto"/>
      <w:ind w:firstLine="0" w:firstLineChars="0"/>
    </w:pPr>
    <w:rPr>
      <w:kern w:val="0"/>
      <w:sz w:val="21"/>
      <w:szCs w:val="21"/>
    </w:rPr>
  </w:style>
  <w:style w:type="paragraph" w:customStyle="1" w:styleId="442">
    <w:name w:val="2"/>
    <w:basedOn w:val="1"/>
    <w:next w:val="34"/>
    <w:autoRedefine/>
    <w:qFormat/>
    <w:uiPriority w:val="0"/>
    <w:pPr>
      <w:widowControl/>
      <w:adjustRightInd/>
      <w:snapToGrid/>
      <w:spacing w:after="200"/>
      <w:ind w:firstLine="560"/>
      <w:jc w:val="left"/>
    </w:pPr>
    <w:rPr>
      <w:rFonts w:ascii="Calibri" w:hAnsi="Calibri"/>
      <w:kern w:val="0"/>
      <w:sz w:val="28"/>
      <w:szCs w:val="22"/>
    </w:rPr>
  </w:style>
  <w:style w:type="paragraph" w:customStyle="1" w:styleId="443">
    <w:name w:val="xl40"/>
    <w:basedOn w:val="1"/>
    <w:autoRedefine/>
    <w:qFormat/>
    <w:uiPriority w:val="0"/>
    <w:pPr>
      <w:widowControl/>
      <w:pBdr>
        <w:top w:val="single" w:color="auto" w:sz="4" w:space="0"/>
        <w:left w:val="single" w:color="auto" w:sz="8" w:space="0"/>
        <w:bottom w:val="single" w:color="auto" w:sz="8" w:space="0"/>
      </w:pBdr>
      <w:adjustRightInd/>
      <w:snapToGrid/>
      <w:spacing w:before="100" w:beforeAutospacing="1" w:after="100" w:afterAutospacing="1"/>
      <w:jc w:val="center"/>
    </w:pPr>
    <w:rPr>
      <w:rFonts w:ascii="Arial Unicode MS" w:hAnsi="Arial Unicode MS" w:eastAsia="Arial Unicode MS"/>
      <w:kern w:val="0"/>
      <w:sz w:val="20"/>
      <w:szCs w:val="22"/>
    </w:rPr>
  </w:style>
  <w:style w:type="paragraph" w:customStyle="1" w:styleId="444">
    <w:name w:val="pa-2"/>
    <w:basedOn w:val="1"/>
    <w:autoRedefine/>
    <w:qFormat/>
    <w:uiPriority w:val="0"/>
    <w:pPr>
      <w:widowControl/>
      <w:adjustRightInd/>
      <w:snapToGrid/>
      <w:spacing w:before="150" w:after="150" w:line="240" w:lineRule="auto"/>
      <w:ind w:firstLine="0" w:firstLineChars="0"/>
      <w:jc w:val="left"/>
    </w:pPr>
    <w:rPr>
      <w:rFonts w:ascii="宋体" w:hAnsi="宋体" w:cs="宋体"/>
      <w:kern w:val="0"/>
      <w:szCs w:val="24"/>
    </w:rPr>
  </w:style>
  <w:style w:type="paragraph" w:customStyle="1" w:styleId="445">
    <w:name w:val="正文样式1"/>
    <w:basedOn w:val="44"/>
    <w:autoRedefine/>
    <w:qFormat/>
    <w:uiPriority w:val="0"/>
    <w:pPr>
      <w:widowControl/>
      <w:adjustRightInd/>
      <w:snapToGrid/>
      <w:ind w:firstLine="560"/>
      <w:jc w:val="left"/>
    </w:pPr>
    <w:rPr>
      <w:sz w:val="24"/>
    </w:rPr>
  </w:style>
  <w:style w:type="paragraph" w:customStyle="1" w:styleId="446">
    <w:name w:val="Char21"/>
    <w:basedOn w:val="26"/>
    <w:autoRedefine/>
    <w:qFormat/>
    <w:uiPriority w:val="0"/>
    <w:pPr>
      <w:adjustRightInd w:val="0"/>
      <w:spacing w:line="436" w:lineRule="exact"/>
      <w:ind w:left="357"/>
      <w:jc w:val="left"/>
      <w:outlineLvl w:val="3"/>
    </w:pPr>
    <w:rPr>
      <w:rFonts w:ascii="Tahoma" w:hAnsi="Tahoma"/>
      <w:b/>
      <w:sz w:val="24"/>
      <w:szCs w:val="24"/>
    </w:rPr>
  </w:style>
  <w:style w:type="paragraph" w:customStyle="1" w:styleId="447">
    <w:name w:val="样式3(代文)"/>
    <w:basedOn w:val="1"/>
    <w:autoRedefine/>
    <w:qFormat/>
    <w:uiPriority w:val="0"/>
    <w:pPr>
      <w:adjustRightInd/>
      <w:snapToGrid/>
      <w:spacing w:line="640" w:lineRule="exact"/>
      <w:ind w:firstLine="538" w:firstLineChars="192"/>
      <w:jc w:val="left"/>
    </w:pPr>
    <w:rPr>
      <w:sz w:val="28"/>
      <w:szCs w:val="24"/>
    </w:rPr>
  </w:style>
  <w:style w:type="paragraph" w:customStyle="1" w:styleId="448">
    <w:name w:val="封面标准名称"/>
    <w:autoRedefine/>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449">
    <w:name w:val="Char Char Char Char Char Char Char Char Char Char Char Char Char Char Char Char Char Char1 Char Char Char Char Char Char Char Char Char Char Char Char Char Char Char Char"/>
    <w:basedOn w:val="1"/>
    <w:next w:val="1"/>
    <w:autoRedefine/>
    <w:qFormat/>
    <w:uiPriority w:val="0"/>
    <w:pPr>
      <w:adjustRightInd/>
      <w:snapToGrid/>
    </w:pPr>
    <w:rPr>
      <w:rFonts w:ascii="宋体" w:hAnsi="宋体" w:cs="宋体"/>
      <w:snapToGrid w:val="0"/>
      <w:kern w:val="0"/>
      <w:szCs w:val="24"/>
    </w:rPr>
  </w:style>
  <w:style w:type="paragraph" w:customStyle="1" w:styleId="450">
    <w:name w:val="xl72"/>
    <w:basedOn w:val="1"/>
    <w:autoRedefine/>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textAlignment w:val="center"/>
    </w:pPr>
    <w:rPr>
      <w:rFonts w:ascii="仿宋_GB2312" w:hAnsi="宋体" w:eastAsia="仿宋_GB2312" w:cs="宋体"/>
      <w:color w:val="FF0000"/>
      <w:kern w:val="0"/>
      <w:sz w:val="21"/>
      <w:szCs w:val="21"/>
    </w:rPr>
  </w:style>
  <w:style w:type="paragraph" w:customStyle="1" w:styleId="451">
    <w:name w:val="font8"/>
    <w:basedOn w:val="1"/>
    <w:autoRedefine/>
    <w:qFormat/>
    <w:uiPriority w:val="0"/>
    <w:pPr>
      <w:widowControl/>
      <w:adjustRightInd/>
      <w:snapToGrid/>
      <w:spacing w:before="100" w:beforeAutospacing="1" w:after="100" w:afterAutospacing="1"/>
      <w:jc w:val="left"/>
    </w:pPr>
    <w:rPr>
      <w:rFonts w:ascii="Calibri" w:hAnsi="Calibri" w:eastAsia="Arial Unicode MS"/>
      <w:kern w:val="0"/>
      <w:sz w:val="20"/>
      <w:szCs w:val="22"/>
    </w:rPr>
  </w:style>
  <w:style w:type="paragraph" w:customStyle="1" w:styleId="452">
    <w:name w:val="图表脚注"/>
    <w:next w:val="189"/>
    <w:autoRedefine/>
    <w:qFormat/>
    <w:uiPriority w:val="0"/>
    <w:pPr>
      <w:ind w:left="300" w:leftChars="200" w:hanging="100" w:hangingChars="100"/>
      <w:jc w:val="both"/>
    </w:pPr>
    <w:rPr>
      <w:rFonts w:ascii="宋体" w:hAnsi="Times New Roman" w:eastAsia="宋体" w:cs="Times New Roman"/>
      <w:sz w:val="18"/>
      <w:lang w:val="en-US" w:eastAsia="zh-CN" w:bidi="ar-SA"/>
    </w:rPr>
  </w:style>
  <w:style w:type="paragraph" w:customStyle="1" w:styleId="453">
    <w:name w:val="bg正文首行缩进"/>
    <w:basedOn w:val="1"/>
    <w:autoRedefine/>
    <w:qFormat/>
    <w:uiPriority w:val="0"/>
    <w:pPr>
      <w:widowControl/>
      <w:adjustRightInd/>
      <w:snapToGrid/>
      <w:spacing w:after="200" w:line="400" w:lineRule="exact"/>
      <w:ind w:firstLine="482"/>
      <w:jc w:val="left"/>
    </w:pPr>
    <w:rPr>
      <w:rFonts w:ascii="Calibri" w:hAnsi="Calibri"/>
      <w:kern w:val="0"/>
      <w:szCs w:val="22"/>
    </w:rPr>
  </w:style>
  <w:style w:type="paragraph" w:customStyle="1" w:styleId="454">
    <w:name w:val="Char Char Char Char Char Char Char Char Char"/>
    <w:basedOn w:val="1"/>
    <w:autoRedefine/>
    <w:qFormat/>
    <w:uiPriority w:val="0"/>
    <w:pPr>
      <w:adjustRightInd/>
      <w:snapToGrid/>
      <w:spacing w:line="240" w:lineRule="auto"/>
      <w:ind w:firstLine="0" w:firstLineChars="0"/>
    </w:pPr>
    <w:rPr>
      <w:sz w:val="21"/>
      <w:szCs w:val="24"/>
    </w:rPr>
  </w:style>
  <w:style w:type="paragraph" w:customStyle="1" w:styleId="455">
    <w:name w:val="表头1"/>
    <w:basedOn w:val="1"/>
    <w:autoRedefine/>
    <w:qFormat/>
    <w:uiPriority w:val="0"/>
    <w:pPr>
      <w:adjustRightInd/>
      <w:snapToGrid/>
      <w:spacing w:line="240" w:lineRule="auto"/>
      <w:ind w:firstLine="0" w:firstLineChars="0"/>
      <w:jc w:val="left"/>
    </w:pPr>
    <w:rPr>
      <w:sz w:val="21"/>
      <w:szCs w:val="24"/>
    </w:rPr>
  </w:style>
  <w:style w:type="paragraph" w:customStyle="1" w:styleId="456">
    <w:name w:val="Char Char Char Char Char Char Char Char Char Char Char Char Char Char Char Char1"/>
    <w:basedOn w:val="1"/>
    <w:autoRedefine/>
    <w:qFormat/>
    <w:uiPriority w:val="0"/>
    <w:pPr>
      <w:adjustRightInd/>
      <w:snapToGrid/>
      <w:spacing w:line="240" w:lineRule="auto"/>
      <w:ind w:firstLine="0" w:firstLineChars="0"/>
    </w:pPr>
    <w:rPr>
      <w:sz w:val="21"/>
      <w:szCs w:val="24"/>
    </w:rPr>
  </w:style>
  <w:style w:type="paragraph" w:customStyle="1" w:styleId="457">
    <w:name w:val="封面标准文稿编辑信息"/>
    <w:autoRedefine/>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458">
    <w:name w:val="Char"/>
    <w:basedOn w:val="1"/>
    <w:autoRedefine/>
    <w:qFormat/>
    <w:uiPriority w:val="0"/>
    <w:pPr>
      <w:adjustRightInd/>
      <w:snapToGrid/>
      <w:spacing w:line="240" w:lineRule="auto"/>
      <w:ind w:firstLine="0" w:firstLineChars="0"/>
    </w:pPr>
    <w:rPr>
      <w:sz w:val="21"/>
      <w:szCs w:val="24"/>
    </w:rPr>
  </w:style>
  <w:style w:type="paragraph" w:customStyle="1" w:styleId="459">
    <w:name w:val="样式7"/>
    <w:basedOn w:val="56"/>
    <w:autoRedefine/>
    <w:qFormat/>
    <w:uiPriority w:val="0"/>
    <w:pPr>
      <w:pBdr>
        <w:bottom w:val="single" w:color="auto" w:sz="6" w:space="1"/>
      </w:pBdr>
      <w:ind w:firstLine="456"/>
    </w:pPr>
    <w:rPr>
      <w:rFonts w:ascii="仿宋_GB2312" w:eastAsia="仿宋_GB2312"/>
      <w:spacing w:val="24"/>
    </w:rPr>
  </w:style>
  <w:style w:type="paragraph" w:customStyle="1" w:styleId="460">
    <w:name w:val="Char22"/>
    <w:basedOn w:val="1"/>
    <w:autoRedefine/>
    <w:qFormat/>
    <w:uiPriority w:val="0"/>
    <w:pPr>
      <w:adjustRightInd/>
      <w:snapToGrid/>
      <w:spacing w:line="240" w:lineRule="auto"/>
      <w:ind w:firstLine="0" w:firstLineChars="0"/>
    </w:pPr>
    <w:rPr>
      <w:sz w:val="21"/>
      <w:szCs w:val="24"/>
    </w:rPr>
  </w:style>
  <w:style w:type="paragraph" w:customStyle="1" w:styleId="461">
    <w:name w:val="xl35"/>
    <w:basedOn w:val="1"/>
    <w:autoRedefine/>
    <w:qFormat/>
    <w:uiPriority w:val="0"/>
    <w:pPr>
      <w:widowControl/>
      <w:pBdr>
        <w:left w:val="single" w:color="auto" w:sz="4" w:space="0"/>
        <w:right w:val="single" w:color="auto" w:sz="4" w:space="0"/>
      </w:pBdr>
      <w:adjustRightInd/>
      <w:snapToGrid/>
      <w:spacing w:before="100" w:beforeAutospacing="1" w:after="100" w:afterAutospacing="1"/>
      <w:jc w:val="center"/>
    </w:pPr>
    <w:rPr>
      <w:rFonts w:ascii="Arial Unicode MS" w:hAnsi="Arial Unicode MS" w:eastAsia="Arial Unicode MS"/>
      <w:kern w:val="0"/>
      <w:sz w:val="20"/>
      <w:szCs w:val="22"/>
    </w:rPr>
  </w:style>
  <w:style w:type="paragraph" w:customStyle="1" w:styleId="462">
    <w:name w:val="Char Char2"/>
    <w:basedOn w:val="1"/>
    <w:autoRedefine/>
    <w:qFormat/>
    <w:uiPriority w:val="0"/>
    <w:pPr>
      <w:adjustRightInd/>
      <w:snapToGrid/>
      <w:spacing w:line="240" w:lineRule="auto"/>
      <w:ind w:firstLine="0" w:firstLineChars="0"/>
    </w:pPr>
    <w:rPr>
      <w:sz w:val="21"/>
      <w:szCs w:val="24"/>
    </w:rPr>
  </w:style>
  <w:style w:type="paragraph" w:customStyle="1" w:styleId="463">
    <w:name w:val="Char Char Char1 Char Char Char Char Char Char Char Char Char Char"/>
    <w:basedOn w:val="1"/>
    <w:autoRedefine/>
    <w:qFormat/>
    <w:uiPriority w:val="0"/>
    <w:pPr>
      <w:adjustRightInd/>
      <w:snapToGrid/>
      <w:spacing w:line="240" w:lineRule="auto"/>
      <w:ind w:firstLine="0" w:firstLineChars="0"/>
    </w:pPr>
    <w:rPr>
      <w:sz w:val="21"/>
      <w:szCs w:val="24"/>
    </w:rPr>
  </w:style>
  <w:style w:type="paragraph" w:customStyle="1" w:styleId="464">
    <w:name w:val="章"/>
    <w:basedOn w:val="6"/>
    <w:autoRedefine/>
    <w:qFormat/>
    <w:uiPriority w:val="0"/>
    <w:pPr>
      <w:adjustRightInd/>
      <w:snapToGrid/>
      <w:spacing w:before="260" w:after="260"/>
      <w:ind w:firstLine="3360" w:firstLineChars="1050"/>
    </w:pPr>
    <w:rPr>
      <w:sz w:val="32"/>
    </w:rPr>
  </w:style>
  <w:style w:type="paragraph" w:customStyle="1" w:styleId="465">
    <w:name w:val="表1"/>
    <w:basedOn w:val="1"/>
    <w:autoRedefine/>
    <w:qFormat/>
    <w:uiPriority w:val="0"/>
    <w:pPr>
      <w:adjustRightInd/>
      <w:snapToGrid/>
      <w:spacing w:line="360" w:lineRule="exact"/>
      <w:ind w:firstLine="0" w:firstLineChars="0"/>
      <w:jc w:val="left"/>
    </w:pPr>
    <w:rPr>
      <w:sz w:val="21"/>
      <w:szCs w:val="24"/>
    </w:rPr>
  </w:style>
  <w:style w:type="paragraph" w:customStyle="1" w:styleId="466">
    <w:name w:val="封面标准英文名称"/>
    <w:autoRedefine/>
    <w:qFormat/>
    <w:uiPriority w:val="0"/>
    <w:pPr>
      <w:widowControl w:val="0"/>
      <w:spacing w:before="370" w:line="400" w:lineRule="exact"/>
      <w:jc w:val="center"/>
    </w:pPr>
    <w:rPr>
      <w:rFonts w:ascii="Times New Roman" w:hAnsi="Times New Roman" w:eastAsia="宋体" w:cs="Times New Roman"/>
      <w:sz w:val="28"/>
      <w:lang w:val="en-US" w:eastAsia="zh-CN" w:bidi="ar-SA"/>
    </w:rPr>
  </w:style>
  <w:style w:type="paragraph" w:customStyle="1" w:styleId="467">
    <w:name w:val="xl29"/>
    <w:basedOn w:val="1"/>
    <w:autoRedefine/>
    <w:qFormat/>
    <w:uiPriority w:val="0"/>
    <w:pPr>
      <w:widowControl/>
      <w:pBdr>
        <w:top w:val="single" w:color="auto" w:sz="4" w:space="0"/>
        <w:left w:val="single" w:color="auto" w:sz="4" w:space="0"/>
        <w:bottom w:val="single" w:color="auto" w:sz="8" w:space="0"/>
        <w:right w:val="single" w:color="auto" w:sz="4" w:space="0"/>
      </w:pBdr>
      <w:adjustRightInd/>
      <w:snapToGrid/>
      <w:spacing w:before="100" w:beforeAutospacing="1" w:after="100" w:afterAutospacing="1"/>
      <w:jc w:val="center"/>
    </w:pPr>
    <w:rPr>
      <w:rFonts w:ascii="Arial Unicode MS" w:hAnsi="Arial Unicode MS" w:eastAsia="Arial Unicode MS"/>
      <w:kern w:val="0"/>
      <w:sz w:val="20"/>
      <w:szCs w:val="22"/>
    </w:rPr>
  </w:style>
  <w:style w:type="paragraph" w:customStyle="1" w:styleId="468">
    <w:name w:val="xl22"/>
    <w:basedOn w:val="1"/>
    <w:autoRedefine/>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left"/>
    </w:pPr>
    <w:rPr>
      <w:rFonts w:hint="eastAsia" w:ascii="宋体" w:hAnsi="宋体"/>
      <w:kern w:val="0"/>
      <w:szCs w:val="24"/>
    </w:rPr>
  </w:style>
  <w:style w:type="paragraph" w:customStyle="1" w:styleId="469">
    <w:name w:val="样式 目录 2"/>
    <w:basedOn w:val="73"/>
    <w:autoRedefine/>
    <w:qFormat/>
    <w:uiPriority w:val="0"/>
    <w:pPr>
      <w:ind w:left="210"/>
    </w:pPr>
    <w:rPr>
      <w:rFonts w:ascii="宋体" w:hAnsi="宋体"/>
      <w:sz w:val="21"/>
    </w:rPr>
  </w:style>
  <w:style w:type="paragraph" w:customStyle="1" w:styleId="470">
    <w:name w:val="xl71"/>
    <w:basedOn w:val="1"/>
    <w:autoRedefine/>
    <w:qFormat/>
    <w:uiPriority w:val="0"/>
    <w:pPr>
      <w:widowControl/>
      <w:adjustRightInd/>
      <w:snapToGrid/>
      <w:spacing w:before="100" w:beforeAutospacing="1" w:after="100" w:afterAutospacing="1" w:line="240" w:lineRule="auto"/>
      <w:ind w:firstLine="0" w:firstLineChars="0"/>
      <w:jc w:val="left"/>
    </w:pPr>
    <w:rPr>
      <w:rFonts w:ascii="宋体" w:hAnsi="宋体" w:cs="宋体"/>
      <w:color w:val="FF0000"/>
      <w:kern w:val="0"/>
      <w:szCs w:val="24"/>
    </w:rPr>
  </w:style>
  <w:style w:type="paragraph" w:customStyle="1" w:styleId="471">
    <w:name w:val="Char Char2 Char"/>
    <w:basedOn w:val="1"/>
    <w:autoRedefine/>
    <w:qFormat/>
    <w:uiPriority w:val="0"/>
    <w:pPr>
      <w:adjustRightInd/>
      <w:snapToGrid/>
      <w:spacing w:line="240" w:lineRule="auto"/>
      <w:ind w:firstLine="0" w:firstLineChars="0"/>
    </w:pPr>
    <w:rPr>
      <w:sz w:val="21"/>
      <w:szCs w:val="24"/>
    </w:rPr>
  </w:style>
  <w:style w:type="paragraph" w:customStyle="1" w:styleId="472">
    <w:name w:val="Char Char Char Char1 Char Char Char Char Char Char Char Char Char1"/>
    <w:basedOn w:val="1"/>
    <w:autoRedefine/>
    <w:qFormat/>
    <w:uiPriority w:val="0"/>
    <w:pPr>
      <w:adjustRightInd/>
      <w:snapToGrid/>
      <w:spacing w:line="240" w:lineRule="auto"/>
      <w:ind w:firstLine="0" w:firstLineChars="0"/>
    </w:pPr>
    <w:rPr>
      <w:sz w:val="21"/>
      <w:szCs w:val="24"/>
    </w:rPr>
  </w:style>
  <w:style w:type="paragraph" w:customStyle="1" w:styleId="473">
    <w:name w:val="xl28"/>
    <w:basedOn w:val="1"/>
    <w:autoRedefine/>
    <w:qFormat/>
    <w:uiPriority w:val="0"/>
    <w:pPr>
      <w:widowControl/>
      <w:pBdr>
        <w:top w:val="single" w:color="auto" w:sz="4" w:space="0"/>
        <w:left w:val="single" w:color="auto" w:sz="4" w:space="0"/>
        <w:bottom w:val="single" w:color="auto" w:sz="4" w:space="0"/>
        <w:right w:val="single" w:color="auto" w:sz="8" w:space="0"/>
      </w:pBdr>
      <w:adjustRightInd/>
      <w:snapToGrid/>
      <w:spacing w:before="100" w:beforeAutospacing="1" w:after="100" w:afterAutospacing="1"/>
      <w:jc w:val="center"/>
    </w:pPr>
    <w:rPr>
      <w:rFonts w:ascii="Arial Unicode MS" w:hAnsi="Arial Unicode MS" w:eastAsia="Arial Unicode MS"/>
      <w:kern w:val="0"/>
      <w:sz w:val="20"/>
      <w:szCs w:val="22"/>
    </w:rPr>
  </w:style>
  <w:style w:type="paragraph" w:customStyle="1" w:styleId="474">
    <w:name w:val="样式 样式2 + 宋体 首行缩进:  2 字符2"/>
    <w:basedOn w:val="162"/>
    <w:autoRedefine/>
    <w:qFormat/>
    <w:uiPriority w:val="0"/>
    <w:pPr>
      <w:tabs>
        <w:tab w:val="clear" w:pos="4153"/>
        <w:tab w:val="clear" w:pos="8306"/>
      </w:tabs>
      <w:adjustRightInd/>
      <w:snapToGrid/>
      <w:ind w:firstLine="200"/>
      <w:jc w:val="both"/>
    </w:pPr>
    <w:rPr>
      <w:rFonts w:ascii="宋体" w:hAnsi="宋体" w:cs="宋体"/>
      <w:sz w:val="24"/>
      <w:szCs w:val="20"/>
    </w:rPr>
  </w:style>
  <w:style w:type="paragraph" w:customStyle="1" w:styleId="475">
    <w:name w:val="前言、引言标题"/>
    <w:next w:val="1"/>
    <w:autoRedefine/>
    <w:qFormat/>
    <w:uiPriority w:val="0"/>
    <w:p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476">
    <w:name w:val="font1"/>
    <w:basedOn w:val="1"/>
    <w:autoRedefine/>
    <w:qFormat/>
    <w:uiPriority w:val="0"/>
    <w:pPr>
      <w:widowControl/>
      <w:adjustRightInd/>
      <w:snapToGrid/>
      <w:spacing w:before="100" w:beforeAutospacing="1" w:after="100" w:afterAutospacing="1"/>
      <w:jc w:val="left"/>
    </w:pPr>
    <w:rPr>
      <w:rFonts w:hint="eastAsia" w:ascii="宋体" w:hAnsi="宋体"/>
      <w:kern w:val="0"/>
      <w:szCs w:val="22"/>
    </w:rPr>
  </w:style>
  <w:style w:type="paragraph" w:customStyle="1" w:styleId="477">
    <w:name w:val="font6"/>
    <w:basedOn w:val="1"/>
    <w:autoRedefine/>
    <w:qFormat/>
    <w:uiPriority w:val="0"/>
    <w:pPr>
      <w:widowControl/>
      <w:adjustRightInd/>
      <w:snapToGrid/>
      <w:spacing w:before="100" w:beforeAutospacing="1" w:after="100" w:afterAutospacing="1"/>
      <w:jc w:val="left"/>
    </w:pPr>
    <w:rPr>
      <w:rFonts w:hint="eastAsia" w:ascii="宋体" w:hAnsi="宋体"/>
      <w:kern w:val="0"/>
      <w:sz w:val="20"/>
      <w:szCs w:val="22"/>
    </w:rPr>
  </w:style>
  <w:style w:type="paragraph" w:customStyle="1" w:styleId="478">
    <w:name w:val="正文缩进1"/>
    <w:basedOn w:val="1"/>
    <w:autoRedefine/>
    <w:qFormat/>
    <w:uiPriority w:val="0"/>
    <w:pPr>
      <w:adjustRightInd/>
      <w:snapToGrid/>
      <w:spacing w:line="520" w:lineRule="atLeast"/>
      <w:ind w:firstLine="560"/>
    </w:pPr>
    <w:rPr>
      <w:rFonts w:eastAsia="华文中宋"/>
      <w:sz w:val="28"/>
    </w:rPr>
  </w:style>
  <w:style w:type="paragraph" w:customStyle="1" w:styleId="479">
    <w:name w:val="bgbt2节标题"/>
    <w:basedOn w:val="1"/>
    <w:next w:val="1"/>
    <w:autoRedefine/>
    <w:qFormat/>
    <w:uiPriority w:val="0"/>
    <w:pPr>
      <w:adjustRightInd/>
      <w:snapToGrid/>
      <w:spacing w:before="300" w:after="60" w:line="240" w:lineRule="auto"/>
      <w:ind w:firstLine="0" w:firstLineChars="0"/>
      <w:jc w:val="center"/>
      <w:outlineLvl w:val="1"/>
    </w:pPr>
    <w:rPr>
      <w:rFonts w:eastAsia="黑体"/>
      <w:sz w:val="30"/>
    </w:rPr>
  </w:style>
  <w:style w:type="paragraph" w:customStyle="1" w:styleId="480">
    <w:name w:val="字紧0.4"/>
    <w:basedOn w:val="303"/>
    <w:autoRedefine/>
    <w:qFormat/>
    <w:uiPriority w:val="0"/>
    <w:pPr>
      <w:ind w:firstLine="528"/>
    </w:pPr>
    <w:rPr>
      <w:b/>
      <w:spacing w:val="-8"/>
      <w:sz w:val="24"/>
      <w:szCs w:val="24"/>
    </w:rPr>
  </w:style>
  <w:style w:type="paragraph" w:customStyle="1" w:styleId="481">
    <w:name w:val="xl32"/>
    <w:basedOn w:val="1"/>
    <w:autoRedefine/>
    <w:qFormat/>
    <w:uiPriority w:val="0"/>
    <w:pPr>
      <w:widowControl/>
      <w:pBdr>
        <w:top w:val="single" w:color="auto" w:sz="8" w:space="0"/>
        <w:left w:val="single" w:color="auto" w:sz="4" w:space="0"/>
        <w:bottom w:val="single" w:color="auto" w:sz="4" w:space="0"/>
        <w:right w:val="single" w:color="auto" w:sz="8" w:space="0"/>
      </w:pBdr>
      <w:adjustRightInd/>
      <w:snapToGrid/>
      <w:spacing w:before="100" w:beforeAutospacing="1" w:after="100" w:afterAutospacing="1"/>
      <w:jc w:val="center"/>
    </w:pPr>
    <w:rPr>
      <w:rFonts w:ascii="Arial Unicode MS" w:hAnsi="Arial Unicode MS" w:eastAsia="Arial Unicode MS"/>
      <w:kern w:val="0"/>
      <w:sz w:val="20"/>
      <w:szCs w:val="22"/>
    </w:rPr>
  </w:style>
  <w:style w:type="paragraph" w:customStyle="1" w:styleId="482">
    <w:name w:val="说明书正文"/>
    <w:basedOn w:val="1"/>
    <w:autoRedefine/>
    <w:qFormat/>
    <w:uiPriority w:val="0"/>
    <w:pPr>
      <w:adjustRightInd/>
      <w:snapToGrid/>
      <w:spacing w:line="480" w:lineRule="exact"/>
      <w:ind w:firstLine="600"/>
    </w:pPr>
    <w:rPr>
      <w:rFonts w:eastAsia="仿宋_GB2312"/>
      <w:color w:val="000000"/>
      <w:sz w:val="30"/>
      <w:szCs w:val="24"/>
    </w:rPr>
  </w:style>
  <w:style w:type="paragraph" w:customStyle="1" w:styleId="483">
    <w:name w:val="表头样式"/>
    <w:basedOn w:val="303"/>
    <w:autoRedefine/>
    <w:qFormat/>
    <w:uiPriority w:val="0"/>
    <w:pPr>
      <w:spacing w:beforeLines="0"/>
      <w:ind w:firstLine="0" w:firstLineChars="0"/>
      <w:jc w:val="center"/>
    </w:pPr>
    <w:rPr>
      <w:rFonts w:ascii="黑体" w:eastAsia="黑体"/>
      <w:b/>
      <w:color w:val="000000"/>
      <w:sz w:val="24"/>
      <w:szCs w:val="24"/>
    </w:rPr>
  </w:style>
  <w:style w:type="paragraph" w:customStyle="1" w:styleId="484">
    <w:name w:val="xl69"/>
    <w:basedOn w:val="1"/>
    <w:autoRedefine/>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textAlignment w:val="center"/>
    </w:pPr>
    <w:rPr>
      <w:rFonts w:ascii="仿宋_GB2312" w:hAnsi="宋体" w:eastAsia="仿宋_GB2312" w:cs="宋体"/>
      <w:b/>
      <w:bCs/>
      <w:color w:val="FF0000"/>
      <w:kern w:val="0"/>
      <w:sz w:val="21"/>
      <w:szCs w:val="21"/>
    </w:rPr>
  </w:style>
  <w:style w:type="paragraph" w:customStyle="1" w:styleId="485">
    <w:name w:val="Char Char Char Char1 Char Char Char"/>
    <w:basedOn w:val="1"/>
    <w:autoRedefine/>
    <w:qFormat/>
    <w:uiPriority w:val="0"/>
    <w:pPr>
      <w:adjustRightInd/>
      <w:snapToGrid/>
      <w:spacing w:line="240" w:lineRule="auto"/>
      <w:ind w:firstLine="0" w:firstLineChars="0"/>
    </w:pPr>
    <w:rPr>
      <w:sz w:val="21"/>
      <w:szCs w:val="24"/>
    </w:rPr>
  </w:style>
  <w:style w:type="paragraph" w:customStyle="1" w:styleId="486">
    <w:name w:val="正文缩进 Char"/>
    <w:basedOn w:val="1"/>
    <w:next w:val="21"/>
    <w:autoRedefine/>
    <w:qFormat/>
    <w:uiPriority w:val="0"/>
    <w:pPr>
      <w:widowControl/>
      <w:adjustRightInd/>
      <w:snapToGrid/>
      <w:spacing w:after="200"/>
      <w:ind w:firstLine="420"/>
      <w:jc w:val="left"/>
    </w:pPr>
    <w:rPr>
      <w:rFonts w:ascii="Calibri" w:hAnsi="Calibri" w:eastAsia="仿宋_GB2312"/>
      <w:kern w:val="0"/>
      <w:sz w:val="28"/>
      <w:szCs w:val="24"/>
    </w:rPr>
  </w:style>
  <w:style w:type="paragraph" w:customStyle="1" w:styleId="487">
    <w:name w:val="3 Char Char Char Char Char Char Char Char Char1 Char Char Char Char Char Char"/>
    <w:basedOn w:val="1"/>
    <w:autoRedefine/>
    <w:qFormat/>
    <w:uiPriority w:val="0"/>
    <w:pPr>
      <w:widowControl/>
      <w:adjustRightInd/>
      <w:spacing w:after="200"/>
      <w:jc w:val="left"/>
    </w:pPr>
    <w:rPr>
      <w:rFonts w:ascii="Calibri" w:hAnsi="Calibri" w:eastAsia="仿宋_GB2312"/>
      <w:kern w:val="0"/>
      <w:szCs w:val="22"/>
    </w:rPr>
  </w:style>
  <w:style w:type="paragraph" w:customStyle="1" w:styleId="488">
    <w:name w:val="xl38"/>
    <w:basedOn w:val="1"/>
    <w:autoRedefine/>
    <w:qFormat/>
    <w:uiPriority w:val="0"/>
    <w:pPr>
      <w:widowControl/>
      <w:pBdr>
        <w:left w:val="single" w:color="auto" w:sz="8" w:space="0"/>
        <w:right w:val="single" w:color="auto" w:sz="4" w:space="0"/>
      </w:pBdr>
      <w:adjustRightInd/>
      <w:snapToGrid/>
      <w:spacing w:before="100" w:beforeAutospacing="1" w:after="100" w:afterAutospacing="1"/>
      <w:jc w:val="center"/>
    </w:pPr>
    <w:rPr>
      <w:rFonts w:ascii="Arial Unicode MS" w:hAnsi="Arial Unicode MS" w:eastAsia="Arial Unicode MS"/>
      <w:kern w:val="0"/>
      <w:szCs w:val="22"/>
    </w:rPr>
  </w:style>
  <w:style w:type="paragraph" w:customStyle="1" w:styleId="489">
    <w:name w:val="Char Char Char Char Char Char1"/>
    <w:basedOn w:val="1"/>
    <w:autoRedefine/>
    <w:qFormat/>
    <w:uiPriority w:val="0"/>
    <w:pPr>
      <w:widowControl/>
      <w:adjustRightInd/>
      <w:snapToGrid/>
      <w:spacing w:after="200" w:line="276" w:lineRule="auto"/>
      <w:ind w:firstLine="0" w:firstLineChars="0"/>
      <w:jc w:val="left"/>
    </w:pPr>
    <w:rPr>
      <w:rFonts w:ascii="Calibri" w:hAnsi="Calibri"/>
      <w:kern w:val="0"/>
      <w:sz w:val="22"/>
      <w:szCs w:val="22"/>
    </w:rPr>
  </w:style>
  <w:style w:type="paragraph" w:customStyle="1" w:styleId="490">
    <w:name w:val="pic-info"/>
    <w:basedOn w:val="1"/>
    <w:autoRedefine/>
    <w:qFormat/>
    <w:uiPriority w:val="0"/>
    <w:pPr>
      <w:widowControl/>
      <w:adjustRightInd/>
      <w:snapToGrid/>
      <w:spacing w:before="100" w:beforeAutospacing="1" w:after="100" w:afterAutospacing="1"/>
      <w:jc w:val="left"/>
    </w:pPr>
    <w:rPr>
      <w:rFonts w:ascii="宋体" w:hAnsi="宋体" w:eastAsia="仿宋_GB2312" w:cs="宋体"/>
      <w:color w:val="00B050"/>
      <w:kern w:val="0"/>
      <w:szCs w:val="24"/>
    </w:rPr>
  </w:style>
  <w:style w:type="paragraph" w:customStyle="1" w:styleId="491">
    <w:name w:val="xl42"/>
    <w:basedOn w:val="1"/>
    <w:autoRedefine/>
    <w:qFormat/>
    <w:uiPriority w:val="0"/>
    <w:pPr>
      <w:widowControl/>
      <w:adjustRightInd/>
      <w:snapToGrid/>
      <w:spacing w:before="100" w:beforeAutospacing="1" w:after="100" w:afterAutospacing="1"/>
      <w:jc w:val="center"/>
      <w:textAlignment w:val="center"/>
    </w:pPr>
    <w:rPr>
      <w:rFonts w:hint="eastAsia" w:ascii="仿宋_GB2312" w:hAnsi="宋体" w:eastAsia="仿宋_GB2312"/>
      <w:kern w:val="0"/>
      <w:szCs w:val="22"/>
    </w:rPr>
  </w:style>
  <w:style w:type="paragraph" w:customStyle="1" w:styleId="492">
    <w:name w:val="表左"/>
    <w:basedOn w:val="1"/>
    <w:autoRedefine/>
    <w:qFormat/>
    <w:uiPriority w:val="0"/>
    <w:pPr>
      <w:keepNext/>
      <w:spacing w:line="320" w:lineRule="atLeast"/>
      <w:ind w:right="63" w:rightChars="30"/>
      <w:jc w:val="center"/>
    </w:pPr>
    <w:rPr>
      <w:rFonts w:ascii="宋体" w:hAnsi="宋体" w:eastAsia="仿宋_GB2312"/>
      <w:color w:val="00B050"/>
    </w:rPr>
  </w:style>
  <w:style w:type="paragraph" w:customStyle="1" w:styleId="493">
    <w:name w:val="Char Char Char Char1"/>
    <w:basedOn w:val="1"/>
    <w:autoRedefine/>
    <w:qFormat/>
    <w:uiPriority w:val="0"/>
    <w:pPr>
      <w:adjustRightInd/>
      <w:snapToGrid/>
      <w:spacing w:line="240" w:lineRule="auto"/>
      <w:ind w:firstLine="0" w:firstLineChars="0"/>
    </w:pPr>
    <w:rPr>
      <w:sz w:val="21"/>
      <w:szCs w:val="21"/>
    </w:rPr>
  </w:style>
  <w:style w:type="paragraph" w:customStyle="1" w:styleId="494">
    <w:name w:val="p0"/>
    <w:basedOn w:val="1"/>
    <w:autoRedefine/>
    <w:qFormat/>
    <w:uiPriority w:val="0"/>
    <w:pPr>
      <w:widowControl/>
      <w:adjustRightInd/>
      <w:snapToGrid/>
      <w:spacing w:line="408" w:lineRule="auto"/>
      <w:ind w:left="1" w:firstLine="0" w:firstLineChars="0"/>
      <w:textAlignment w:val="bottom"/>
    </w:pPr>
    <w:rPr>
      <w:color w:val="000000"/>
      <w:kern w:val="0"/>
      <w:sz w:val="30"/>
      <w:szCs w:val="30"/>
    </w:rPr>
  </w:style>
  <w:style w:type="paragraph" w:customStyle="1" w:styleId="495">
    <w:name w:val="Char Char Char Char Char Char Char Char Char Char Char Char Char Char"/>
    <w:autoRedefine/>
    <w:qFormat/>
    <w:uiPriority w:val="0"/>
    <w:pPr>
      <w:widowControl w:val="0"/>
      <w:spacing w:line="300" w:lineRule="auto"/>
      <w:ind w:firstLine="480" w:firstLineChars="200"/>
      <w:jc w:val="both"/>
    </w:pPr>
    <w:rPr>
      <w:rFonts w:ascii="Times New Roman" w:hAnsi="Times New Roman" w:eastAsia="仿宋_GB2312" w:cs="Times New Roman"/>
      <w:kern w:val="2"/>
      <w:sz w:val="24"/>
      <w:szCs w:val="24"/>
      <w:lang w:val="en-US" w:eastAsia="zh-CN" w:bidi="ar-SA"/>
    </w:rPr>
  </w:style>
  <w:style w:type="paragraph" w:customStyle="1" w:styleId="496">
    <w:name w:val="Char Char Char4 Char1"/>
    <w:basedOn w:val="1"/>
    <w:autoRedefine/>
    <w:qFormat/>
    <w:uiPriority w:val="0"/>
    <w:pPr>
      <w:adjustRightInd/>
      <w:snapToGrid/>
      <w:spacing w:line="240" w:lineRule="auto"/>
      <w:ind w:firstLine="0" w:firstLineChars="0"/>
    </w:pPr>
    <w:rPr>
      <w:sz w:val="21"/>
      <w:szCs w:val="24"/>
    </w:rPr>
  </w:style>
  <w:style w:type="paragraph" w:customStyle="1" w:styleId="497">
    <w:name w:val="font5"/>
    <w:basedOn w:val="1"/>
    <w:autoRedefine/>
    <w:qFormat/>
    <w:uiPriority w:val="0"/>
    <w:pPr>
      <w:widowControl/>
      <w:adjustRightInd/>
      <w:snapToGrid/>
      <w:spacing w:before="100" w:beforeAutospacing="1" w:after="100" w:afterAutospacing="1"/>
      <w:jc w:val="left"/>
    </w:pPr>
    <w:rPr>
      <w:rFonts w:hint="eastAsia" w:ascii="宋体" w:hAnsi="宋体"/>
      <w:kern w:val="0"/>
      <w:sz w:val="18"/>
      <w:szCs w:val="22"/>
    </w:rPr>
  </w:style>
  <w:style w:type="paragraph" w:customStyle="1" w:styleId="498">
    <w:name w:val="Char Char Char Char1 Char Char Char1"/>
    <w:basedOn w:val="1"/>
    <w:autoRedefine/>
    <w:qFormat/>
    <w:uiPriority w:val="0"/>
    <w:pPr>
      <w:adjustRightInd/>
      <w:snapToGrid/>
      <w:spacing w:line="240" w:lineRule="auto"/>
      <w:ind w:firstLine="0" w:firstLineChars="0"/>
    </w:pPr>
    <w:rPr>
      <w:sz w:val="21"/>
      <w:szCs w:val="24"/>
    </w:rPr>
  </w:style>
  <w:style w:type="paragraph" w:customStyle="1" w:styleId="499">
    <w:name w:val="默认段落字体 Para Char"/>
    <w:basedOn w:val="1"/>
    <w:next w:val="1"/>
    <w:autoRedefine/>
    <w:qFormat/>
    <w:uiPriority w:val="0"/>
    <w:pPr>
      <w:widowControl/>
      <w:adjustRightInd/>
      <w:snapToGrid/>
      <w:spacing w:after="200"/>
      <w:jc w:val="left"/>
    </w:pPr>
    <w:rPr>
      <w:rFonts w:ascii="宋体" w:hAnsi="宋体"/>
      <w:kern w:val="0"/>
      <w:szCs w:val="22"/>
    </w:rPr>
  </w:style>
  <w:style w:type="paragraph" w:customStyle="1" w:styleId="500">
    <w:name w:val="表格3 Char Char Char"/>
    <w:basedOn w:val="1"/>
    <w:autoRedefine/>
    <w:qFormat/>
    <w:uiPriority w:val="0"/>
    <w:pPr>
      <w:widowControl/>
      <w:adjustRightInd/>
      <w:spacing w:after="200" w:line="240" w:lineRule="atLeast"/>
      <w:jc w:val="left"/>
    </w:pPr>
    <w:rPr>
      <w:rFonts w:ascii="Calibri" w:hAnsi="Calibri" w:eastAsia="仿宋_GB2312"/>
      <w:color w:val="000000"/>
      <w:spacing w:val="-8"/>
      <w:kern w:val="0"/>
      <w:sz w:val="18"/>
      <w:szCs w:val="22"/>
    </w:rPr>
  </w:style>
  <w:style w:type="paragraph" w:customStyle="1" w:styleId="501">
    <w:name w:val="样式 正文文本缩进 2 + 首行缩进:  2 字符"/>
    <w:basedOn w:val="50"/>
    <w:autoRedefine/>
    <w:qFormat/>
    <w:uiPriority w:val="0"/>
    <w:pPr>
      <w:spacing w:line="300" w:lineRule="auto"/>
      <w:ind w:firstLine="763" w:firstLineChars="288"/>
    </w:pPr>
    <w:rPr>
      <w:szCs w:val="24"/>
    </w:rPr>
  </w:style>
  <w:style w:type="paragraph" w:customStyle="1" w:styleId="502">
    <w:name w:val="样式 标题 4 + 宋体 小四 首行缩进:  2 字符 行距: 固定值 18 磅"/>
    <w:basedOn w:val="1"/>
    <w:next w:val="1"/>
    <w:autoRedefine/>
    <w:qFormat/>
    <w:uiPriority w:val="0"/>
    <w:pPr>
      <w:widowControl/>
      <w:topLinePunct/>
      <w:adjustRightInd/>
      <w:snapToGrid/>
      <w:spacing w:before="120" w:after="120"/>
      <w:ind w:firstLine="420" w:firstLineChars="0"/>
      <w:outlineLvl w:val="3"/>
    </w:pPr>
    <w:rPr>
      <w:rFonts w:ascii="黑体" w:eastAsia="黑体"/>
      <w:color w:val="000000"/>
      <w:sz w:val="21"/>
    </w:rPr>
  </w:style>
  <w:style w:type="paragraph" w:customStyle="1" w:styleId="503">
    <w:name w:val="Char Char2 Char Char Char Char Char Char"/>
    <w:basedOn w:val="1"/>
    <w:autoRedefine/>
    <w:qFormat/>
    <w:uiPriority w:val="0"/>
    <w:pPr>
      <w:adjustRightInd/>
      <w:snapToGrid/>
      <w:spacing w:line="240" w:lineRule="auto"/>
      <w:ind w:firstLine="0" w:firstLineChars="0"/>
    </w:pPr>
    <w:rPr>
      <w:sz w:val="44"/>
    </w:rPr>
  </w:style>
  <w:style w:type="paragraph" w:customStyle="1" w:styleId="504">
    <w:name w:val="样式 正文文本 + 小三"/>
    <w:basedOn w:val="33"/>
    <w:autoRedefine/>
    <w:qFormat/>
    <w:uiPriority w:val="0"/>
    <w:pPr>
      <w:spacing w:before="0" w:after="0" w:line="360" w:lineRule="auto"/>
      <w:ind w:firstLine="200" w:firstLineChars="200"/>
    </w:pPr>
    <w:rPr>
      <w:rFonts w:ascii="宋体" w:hAnsi="宋体"/>
      <w:snapToGrid w:val="0"/>
      <w:sz w:val="30"/>
      <w:szCs w:val="24"/>
    </w:rPr>
  </w:style>
  <w:style w:type="paragraph" w:customStyle="1" w:styleId="505">
    <w:name w:val="Char41"/>
    <w:basedOn w:val="1"/>
    <w:autoRedefine/>
    <w:qFormat/>
    <w:uiPriority w:val="0"/>
    <w:pPr>
      <w:widowControl/>
      <w:adjustRightInd/>
      <w:snapToGrid/>
      <w:spacing w:after="200"/>
      <w:jc w:val="left"/>
    </w:pPr>
    <w:rPr>
      <w:rFonts w:ascii="宋体" w:hAnsi="宋体"/>
      <w:kern w:val="0"/>
      <w:szCs w:val="22"/>
    </w:rPr>
  </w:style>
  <w:style w:type="paragraph" w:customStyle="1" w:styleId="506">
    <w:name w:val="3 Char Char Char Char Char Char Char Char Char1 Char Char Char"/>
    <w:basedOn w:val="1"/>
    <w:autoRedefine/>
    <w:qFormat/>
    <w:uiPriority w:val="0"/>
    <w:pPr>
      <w:widowControl/>
      <w:adjustRightInd/>
      <w:spacing w:after="200"/>
      <w:jc w:val="left"/>
    </w:pPr>
    <w:rPr>
      <w:rFonts w:ascii="Calibri" w:hAnsi="Calibri" w:eastAsia="仿宋_GB2312"/>
      <w:kern w:val="0"/>
      <w:szCs w:val="22"/>
    </w:rPr>
  </w:style>
  <w:style w:type="paragraph" w:customStyle="1" w:styleId="507">
    <w:name w:val="Char2"/>
    <w:basedOn w:val="1"/>
    <w:autoRedefine/>
    <w:qFormat/>
    <w:uiPriority w:val="0"/>
    <w:pPr>
      <w:adjustRightInd/>
      <w:snapToGrid/>
      <w:spacing w:line="240" w:lineRule="auto"/>
      <w:ind w:firstLine="0" w:firstLineChars="0"/>
    </w:pPr>
    <w:rPr>
      <w:sz w:val="21"/>
      <w:szCs w:val="24"/>
    </w:rPr>
  </w:style>
  <w:style w:type="paragraph" w:customStyle="1" w:styleId="508">
    <w:name w:val="默认段落字体 Para Char Char Char Char"/>
    <w:basedOn w:val="1"/>
    <w:next w:val="1"/>
    <w:autoRedefine/>
    <w:qFormat/>
    <w:uiPriority w:val="0"/>
    <w:pPr>
      <w:keepNext/>
      <w:keepLines/>
      <w:adjustRightInd/>
      <w:snapToGrid/>
      <w:spacing w:after="10" w:line="400" w:lineRule="atLeast"/>
      <w:ind w:firstLine="0" w:firstLineChars="0"/>
      <w:outlineLvl w:val="0"/>
    </w:pPr>
    <w:rPr>
      <w:sz w:val="21"/>
    </w:rPr>
  </w:style>
  <w:style w:type="paragraph" w:customStyle="1" w:styleId="509">
    <w:name w:val="xl68"/>
    <w:basedOn w:val="1"/>
    <w:autoRedefine/>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center"/>
      <w:textAlignment w:val="center"/>
    </w:pPr>
    <w:rPr>
      <w:rFonts w:ascii="宋体" w:hAnsi="宋体" w:cs="宋体"/>
      <w:color w:val="FF0000"/>
      <w:kern w:val="0"/>
      <w:sz w:val="21"/>
      <w:szCs w:val="21"/>
    </w:rPr>
  </w:style>
  <w:style w:type="paragraph" w:customStyle="1" w:styleId="510">
    <w:name w:val="表格正文20110806"/>
    <w:basedOn w:val="1"/>
    <w:autoRedefine/>
    <w:qFormat/>
    <w:uiPriority w:val="0"/>
    <w:pPr>
      <w:adjustRightInd/>
      <w:snapToGrid/>
      <w:spacing w:line="240" w:lineRule="auto"/>
      <w:ind w:firstLine="0" w:firstLineChars="0"/>
      <w:jc w:val="center"/>
    </w:pPr>
    <w:rPr>
      <w:rFonts w:eastAsia="仿宋_GB2312"/>
      <w:color w:val="C0504D"/>
      <w:sz w:val="21"/>
      <w:szCs w:val="21"/>
    </w:rPr>
  </w:style>
  <w:style w:type="paragraph" w:customStyle="1" w:styleId="511">
    <w:name w:val="xl81"/>
    <w:basedOn w:val="1"/>
    <w:autoRedefine/>
    <w:qFormat/>
    <w:uiPriority w:val="0"/>
    <w:pPr>
      <w:widowControl/>
      <w:pBdr>
        <w:top w:val="single" w:color="auto" w:sz="4" w:space="0"/>
        <w:bottom w:val="single" w:color="auto" w:sz="4" w:space="0"/>
      </w:pBdr>
      <w:shd w:val="clear" w:color="000000" w:fill="FFFFFF"/>
      <w:adjustRightInd/>
      <w:snapToGrid/>
      <w:spacing w:before="100" w:beforeAutospacing="1" w:after="100" w:afterAutospacing="1" w:line="240" w:lineRule="auto"/>
      <w:ind w:firstLine="0" w:firstLineChars="0"/>
      <w:jc w:val="center"/>
      <w:textAlignment w:val="center"/>
    </w:pPr>
    <w:rPr>
      <w:rFonts w:ascii="仿宋_GB2312" w:hAnsi="宋体" w:eastAsia="仿宋_GB2312" w:cs="宋体"/>
      <w:b/>
      <w:bCs/>
      <w:color w:val="FF0000"/>
      <w:kern w:val="0"/>
      <w:sz w:val="21"/>
      <w:szCs w:val="21"/>
    </w:rPr>
  </w:style>
  <w:style w:type="paragraph" w:customStyle="1" w:styleId="512">
    <w:name w:val="xl26"/>
    <w:basedOn w:val="1"/>
    <w:autoRedefine/>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jc w:val="center"/>
    </w:pPr>
    <w:rPr>
      <w:rFonts w:ascii="Arial Unicode MS" w:hAnsi="Arial Unicode MS" w:eastAsia="Arial Unicode MS"/>
      <w:kern w:val="0"/>
      <w:sz w:val="20"/>
      <w:szCs w:val="22"/>
    </w:rPr>
  </w:style>
  <w:style w:type="paragraph" w:customStyle="1" w:styleId="513">
    <w:name w:val="ad"/>
    <w:basedOn w:val="1"/>
    <w:autoRedefine/>
    <w:qFormat/>
    <w:uiPriority w:val="0"/>
    <w:pPr>
      <w:widowControl/>
      <w:adjustRightInd/>
      <w:snapToGrid/>
      <w:spacing w:before="30" w:after="135"/>
      <w:ind w:left="60" w:right="135" w:firstLine="420"/>
      <w:jc w:val="left"/>
      <w:textAlignment w:val="center"/>
    </w:pPr>
    <w:rPr>
      <w:rFonts w:ascii="宋体" w:hAnsi="宋体" w:eastAsia="华文中宋"/>
      <w:kern w:val="0"/>
      <w:sz w:val="28"/>
      <w:szCs w:val="22"/>
    </w:rPr>
  </w:style>
  <w:style w:type="paragraph" w:customStyle="1" w:styleId="514">
    <w:name w:val="封面一致性程度标识"/>
    <w:autoRedefine/>
    <w:qFormat/>
    <w:uiPriority w:val="0"/>
    <w:pPr>
      <w:spacing w:before="440" w:line="400" w:lineRule="exact"/>
      <w:jc w:val="center"/>
    </w:pPr>
    <w:rPr>
      <w:rFonts w:ascii="宋体" w:hAnsi="Times New Roman" w:eastAsia="宋体" w:cs="Times New Roman"/>
      <w:sz w:val="28"/>
      <w:lang w:val="en-US" w:eastAsia="zh-CN" w:bidi="ar-SA"/>
    </w:rPr>
  </w:style>
  <w:style w:type="paragraph" w:customStyle="1" w:styleId="515">
    <w:name w:val="正式文本"/>
    <w:basedOn w:val="1"/>
    <w:autoRedefine/>
    <w:qFormat/>
    <w:uiPriority w:val="0"/>
    <w:pPr>
      <w:adjustRightInd/>
      <w:snapToGrid/>
      <w:spacing w:line="540" w:lineRule="exact"/>
    </w:pPr>
    <w:rPr>
      <w:rFonts w:ascii="宋体" w:hAnsi="Arial Narrow"/>
      <w:sz w:val="28"/>
      <w:szCs w:val="24"/>
    </w:rPr>
  </w:style>
  <w:style w:type="paragraph" w:customStyle="1" w:styleId="516">
    <w:name w:val="目次、索引正文"/>
    <w:autoRedefine/>
    <w:qFormat/>
    <w:uiPriority w:val="0"/>
    <w:pPr>
      <w:spacing w:line="320" w:lineRule="exact"/>
      <w:jc w:val="both"/>
    </w:pPr>
    <w:rPr>
      <w:rFonts w:ascii="宋体" w:hAnsi="Times New Roman" w:eastAsia="宋体" w:cs="Times New Roman"/>
      <w:sz w:val="21"/>
      <w:lang w:val="en-US" w:eastAsia="zh-CN" w:bidi="ar-SA"/>
    </w:rPr>
  </w:style>
  <w:style w:type="paragraph" w:customStyle="1" w:styleId="517">
    <w:name w:val="pa-3"/>
    <w:basedOn w:val="1"/>
    <w:autoRedefine/>
    <w:qFormat/>
    <w:uiPriority w:val="0"/>
    <w:pPr>
      <w:widowControl/>
      <w:adjustRightInd/>
      <w:snapToGrid/>
      <w:spacing w:before="150" w:after="150" w:line="240" w:lineRule="auto"/>
      <w:ind w:firstLine="0" w:firstLineChars="0"/>
      <w:jc w:val="left"/>
    </w:pPr>
    <w:rPr>
      <w:rFonts w:ascii="宋体" w:hAnsi="宋体" w:cs="宋体"/>
      <w:kern w:val="0"/>
      <w:szCs w:val="24"/>
    </w:rPr>
  </w:style>
  <w:style w:type="paragraph" w:customStyle="1" w:styleId="518">
    <w:name w:val="xl34"/>
    <w:basedOn w:val="1"/>
    <w:autoRedefine/>
    <w:qFormat/>
    <w:uiPriority w:val="0"/>
    <w:pPr>
      <w:widowControl/>
      <w:pBdr>
        <w:top w:val="single" w:color="auto" w:sz="8" w:space="0"/>
        <w:left w:val="single" w:color="auto" w:sz="4" w:space="0"/>
        <w:right w:val="single" w:color="auto" w:sz="4" w:space="0"/>
      </w:pBdr>
      <w:adjustRightInd/>
      <w:snapToGrid/>
      <w:spacing w:before="100" w:beforeAutospacing="1" w:after="100" w:afterAutospacing="1"/>
      <w:jc w:val="center"/>
    </w:pPr>
    <w:rPr>
      <w:rFonts w:ascii="Arial Unicode MS" w:hAnsi="Arial Unicode MS" w:eastAsia="Arial Unicode MS"/>
      <w:kern w:val="0"/>
      <w:sz w:val="20"/>
      <w:szCs w:val="22"/>
    </w:rPr>
  </w:style>
  <w:style w:type="paragraph" w:customStyle="1" w:styleId="519">
    <w:name w:val="Char Char2 Char Char Char Char Char Char1"/>
    <w:basedOn w:val="1"/>
    <w:autoRedefine/>
    <w:qFormat/>
    <w:uiPriority w:val="0"/>
    <w:pPr>
      <w:adjustRightInd/>
      <w:snapToGrid/>
      <w:spacing w:line="240" w:lineRule="auto"/>
      <w:ind w:firstLine="0" w:firstLineChars="0"/>
    </w:pPr>
    <w:rPr>
      <w:sz w:val="44"/>
    </w:rPr>
  </w:style>
  <w:style w:type="paragraph" w:customStyle="1" w:styleId="520">
    <w:name w:val="xl36"/>
    <w:basedOn w:val="1"/>
    <w:autoRedefine/>
    <w:qFormat/>
    <w:uiPriority w:val="0"/>
    <w:pPr>
      <w:widowControl/>
      <w:pBdr>
        <w:left w:val="single" w:color="auto" w:sz="4" w:space="0"/>
        <w:bottom w:val="single" w:color="auto" w:sz="4" w:space="0"/>
        <w:right w:val="single" w:color="auto" w:sz="4" w:space="0"/>
      </w:pBdr>
      <w:adjustRightInd/>
      <w:snapToGrid/>
      <w:spacing w:before="100" w:beforeAutospacing="1" w:after="100" w:afterAutospacing="1"/>
      <w:jc w:val="center"/>
    </w:pPr>
    <w:rPr>
      <w:rFonts w:ascii="Arial Unicode MS" w:hAnsi="Arial Unicode MS" w:eastAsia="Arial Unicode MS"/>
      <w:kern w:val="0"/>
      <w:sz w:val="20"/>
      <w:szCs w:val="22"/>
    </w:rPr>
  </w:style>
  <w:style w:type="paragraph" w:customStyle="1" w:styleId="521">
    <w:name w:val="标准书眉_奇数页"/>
    <w:next w:val="1"/>
    <w:autoRedefine/>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522">
    <w:name w:val="节标题"/>
    <w:basedOn w:val="1"/>
    <w:next w:val="523"/>
    <w:autoRedefine/>
    <w:qFormat/>
    <w:uiPriority w:val="0"/>
    <w:pPr>
      <w:widowControl/>
      <w:adjustRightInd/>
      <w:snapToGrid/>
      <w:spacing w:after="200" w:line="289" w:lineRule="atLeast"/>
      <w:jc w:val="center"/>
      <w:textAlignment w:val="baseline"/>
    </w:pPr>
    <w:rPr>
      <w:rFonts w:ascii="Calibri" w:hAnsi="Calibri"/>
      <w:color w:val="000000"/>
      <w:kern w:val="0"/>
      <w:sz w:val="28"/>
      <w:szCs w:val="22"/>
      <w:u w:color="000000"/>
    </w:rPr>
  </w:style>
  <w:style w:type="paragraph" w:customStyle="1" w:styleId="523">
    <w:name w:val="小节标题"/>
    <w:basedOn w:val="1"/>
    <w:next w:val="1"/>
    <w:autoRedefine/>
    <w:qFormat/>
    <w:uiPriority w:val="0"/>
    <w:pPr>
      <w:widowControl/>
      <w:adjustRightInd/>
      <w:snapToGrid/>
      <w:spacing w:before="175" w:after="102" w:line="351" w:lineRule="atLeast"/>
      <w:jc w:val="left"/>
      <w:textAlignment w:val="baseline"/>
    </w:pPr>
    <w:rPr>
      <w:rFonts w:ascii="Calibri" w:hAnsi="Calibri" w:eastAsia="黑体"/>
      <w:color w:val="000000"/>
      <w:kern w:val="0"/>
      <w:szCs w:val="22"/>
      <w:u w:color="000000"/>
    </w:rPr>
  </w:style>
  <w:style w:type="paragraph" w:customStyle="1" w:styleId="524">
    <w:name w:val="样式"/>
    <w:autoRedefine/>
    <w:qFormat/>
    <w:uiPriority w:val="0"/>
    <w:pPr>
      <w:widowControl w:val="0"/>
      <w:autoSpaceDE w:val="0"/>
      <w:autoSpaceDN w:val="0"/>
      <w:adjustRightInd w:val="0"/>
    </w:pPr>
    <w:rPr>
      <w:rFonts w:ascii="Times New Roman" w:hAnsi="Times New Roman" w:eastAsia="宋体" w:cs="Times New Roman"/>
      <w:sz w:val="24"/>
      <w:lang w:val="en-US" w:eastAsia="zh-CN" w:bidi="ar-SA"/>
    </w:rPr>
  </w:style>
  <w:style w:type="paragraph" w:customStyle="1" w:styleId="525">
    <w:name w:val="样式 标题03 + 段前: 0.5 行 段后: 0.5 行"/>
    <w:basedOn w:val="1"/>
    <w:autoRedefine/>
    <w:qFormat/>
    <w:uiPriority w:val="0"/>
    <w:pPr>
      <w:keepNext/>
      <w:keepLines/>
      <w:adjustRightInd/>
      <w:snapToGrid/>
      <w:outlineLvl w:val="2"/>
    </w:pPr>
    <w:rPr>
      <w:rFonts w:eastAsia="黑体" w:cs="宋体"/>
      <w:color w:val="00B050"/>
      <w:sz w:val="28"/>
    </w:rPr>
  </w:style>
  <w:style w:type="paragraph" w:customStyle="1" w:styleId="526">
    <w:name w:val="样式2(代节)"/>
    <w:autoRedefine/>
    <w:qFormat/>
    <w:uiPriority w:val="0"/>
    <w:pPr>
      <w:widowControl w:val="0"/>
      <w:spacing w:beforeLines="120" w:afterLines="100"/>
      <w:jc w:val="center"/>
      <w:outlineLvl w:val="1"/>
    </w:pPr>
    <w:rPr>
      <w:rFonts w:ascii="黑体" w:hAnsi="宋体" w:eastAsia="黑体" w:cs="Times New Roman"/>
      <w:kern w:val="2"/>
      <w:sz w:val="30"/>
      <w:szCs w:val="36"/>
      <w:lang w:val="en-US" w:eastAsia="zh-CN" w:bidi="ar-SA"/>
    </w:rPr>
  </w:style>
  <w:style w:type="paragraph" w:customStyle="1" w:styleId="527">
    <w:name w:val="正文文本 21"/>
    <w:basedOn w:val="1"/>
    <w:autoRedefine/>
    <w:qFormat/>
    <w:uiPriority w:val="0"/>
    <w:pPr>
      <w:snapToGrid/>
      <w:ind w:firstLine="560" w:firstLineChars="0"/>
      <w:textAlignment w:val="baseline"/>
    </w:pPr>
    <w:rPr>
      <w:sz w:val="28"/>
    </w:rPr>
  </w:style>
  <w:style w:type="paragraph" w:customStyle="1" w:styleId="528">
    <w:name w:val="biao"/>
    <w:basedOn w:val="1"/>
    <w:autoRedefine/>
    <w:qFormat/>
    <w:uiPriority w:val="0"/>
    <w:pPr>
      <w:tabs>
        <w:tab w:val="left" w:pos="4230"/>
      </w:tabs>
      <w:adjustRightInd/>
      <w:snapToGrid/>
      <w:spacing w:line="240" w:lineRule="auto"/>
      <w:ind w:firstLine="0" w:firstLineChars="0"/>
      <w:jc w:val="center"/>
    </w:pPr>
    <w:rPr>
      <w:sz w:val="21"/>
      <w:szCs w:val="30"/>
    </w:rPr>
  </w:style>
  <w:style w:type="paragraph" w:customStyle="1" w:styleId="529">
    <w:name w:val="Char1 Char Char Char1"/>
    <w:basedOn w:val="1"/>
    <w:autoRedefine/>
    <w:qFormat/>
    <w:uiPriority w:val="0"/>
    <w:pPr>
      <w:adjustRightInd/>
      <w:snapToGrid/>
      <w:spacing w:line="240" w:lineRule="auto"/>
      <w:ind w:firstLine="0" w:firstLineChars="0"/>
    </w:pPr>
    <w:rPr>
      <w:sz w:val="21"/>
      <w:szCs w:val="24"/>
    </w:rPr>
  </w:style>
  <w:style w:type="paragraph" w:customStyle="1" w:styleId="530">
    <w:name w:val="font10"/>
    <w:basedOn w:val="1"/>
    <w:autoRedefine/>
    <w:qFormat/>
    <w:uiPriority w:val="0"/>
    <w:pPr>
      <w:widowControl/>
      <w:adjustRightInd/>
      <w:snapToGrid/>
      <w:spacing w:before="100" w:beforeAutospacing="1" w:after="100" w:afterAutospacing="1" w:line="240" w:lineRule="auto"/>
      <w:ind w:firstLine="0" w:firstLineChars="0"/>
      <w:jc w:val="left"/>
    </w:pPr>
    <w:rPr>
      <w:b/>
      <w:bCs/>
      <w:color w:val="FF0000"/>
      <w:kern w:val="0"/>
      <w:sz w:val="21"/>
      <w:szCs w:val="21"/>
    </w:rPr>
  </w:style>
  <w:style w:type="paragraph" w:customStyle="1" w:styleId="531">
    <w:name w:val="xl76"/>
    <w:basedOn w:val="1"/>
    <w:autoRedefine/>
    <w:qFormat/>
    <w:uiPriority w:val="0"/>
    <w:pPr>
      <w:widowControl/>
      <w:pBdr>
        <w:top w:val="single" w:color="auto" w:sz="4" w:space="0"/>
        <w:left w:val="single" w:color="auto" w:sz="4" w:space="0"/>
        <w:bottom w:val="single" w:color="auto" w:sz="4" w:space="0"/>
        <w:right w:val="single" w:color="auto" w:sz="4" w:space="0"/>
      </w:pBdr>
      <w:adjustRightInd/>
      <w:snapToGrid/>
      <w:spacing w:before="100" w:beforeAutospacing="1" w:after="100" w:afterAutospacing="1" w:line="240" w:lineRule="auto"/>
      <w:ind w:firstLine="0" w:firstLineChars="0"/>
      <w:jc w:val="left"/>
      <w:textAlignment w:val="center"/>
    </w:pPr>
    <w:rPr>
      <w:rFonts w:ascii="仿宋_GB2312" w:hAnsi="宋体" w:eastAsia="仿宋_GB2312" w:cs="宋体"/>
      <w:b/>
      <w:bCs/>
      <w:color w:val="FF0000"/>
      <w:kern w:val="0"/>
      <w:sz w:val="21"/>
      <w:szCs w:val="21"/>
    </w:rPr>
  </w:style>
  <w:style w:type="paragraph" w:customStyle="1" w:styleId="532">
    <w:name w:val="样式 首行缩进:  2 字符"/>
    <w:basedOn w:val="1"/>
    <w:autoRedefine/>
    <w:qFormat/>
    <w:uiPriority w:val="0"/>
    <w:pPr>
      <w:widowControl/>
      <w:topLinePunct/>
      <w:adjustRightInd/>
      <w:snapToGrid/>
      <w:spacing w:after="200" w:line="380" w:lineRule="exact"/>
      <w:ind w:firstLine="480"/>
      <w:jc w:val="left"/>
    </w:pPr>
    <w:rPr>
      <w:rFonts w:ascii="宋体" w:hAnsi="宋体"/>
      <w:kern w:val="0"/>
      <w:szCs w:val="22"/>
    </w:rPr>
  </w:style>
  <w:style w:type="paragraph" w:customStyle="1" w:styleId="533">
    <w:name w:val="附录表标题"/>
    <w:next w:val="189"/>
    <w:autoRedefine/>
    <w:qFormat/>
    <w:uiPriority w:val="0"/>
    <w:pPr>
      <w:tabs>
        <w:tab w:val="left" w:pos="675"/>
      </w:tabs>
      <w:ind w:left="315"/>
      <w:jc w:val="center"/>
      <w:textAlignment w:val="baseline"/>
    </w:pPr>
    <w:rPr>
      <w:rFonts w:ascii="黑体" w:hAnsi="Times New Roman" w:eastAsia="黑体" w:cs="Times New Roman"/>
      <w:kern w:val="21"/>
      <w:sz w:val="21"/>
      <w:lang w:val="en-US" w:eastAsia="zh-CN" w:bidi="ar-SA"/>
    </w:rPr>
  </w:style>
  <w:style w:type="paragraph" w:customStyle="1" w:styleId="534">
    <w:name w:val="Char Char Char1 Char Char Char Char Char Char Char Char Char1"/>
    <w:basedOn w:val="1"/>
    <w:autoRedefine/>
    <w:qFormat/>
    <w:uiPriority w:val="0"/>
    <w:pPr>
      <w:adjustRightInd/>
      <w:snapToGrid/>
      <w:spacing w:line="240" w:lineRule="auto"/>
      <w:ind w:firstLine="0" w:firstLineChars="0"/>
    </w:pPr>
    <w:rPr>
      <w:sz w:val="44"/>
    </w:rPr>
  </w:style>
  <w:style w:type="paragraph" w:customStyle="1" w:styleId="535">
    <w:name w:val="Char Char Char4 Char Char Char Char Char Char Char Char Char Char Char Char Char"/>
    <w:basedOn w:val="1"/>
    <w:autoRedefine/>
    <w:qFormat/>
    <w:uiPriority w:val="0"/>
    <w:pPr>
      <w:adjustRightInd/>
      <w:snapToGrid/>
      <w:spacing w:line="240" w:lineRule="auto"/>
      <w:ind w:firstLine="0" w:firstLineChars="0"/>
    </w:pPr>
    <w:rPr>
      <w:sz w:val="21"/>
      <w:szCs w:val="24"/>
    </w:rPr>
  </w:style>
  <w:style w:type="paragraph" w:customStyle="1" w:styleId="536">
    <w:name w:val="目次、标准名称标题"/>
    <w:basedOn w:val="475"/>
    <w:next w:val="189"/>
    <w:autoRedefine/>
    <w:qFormat/>
    <w:uiPriority w:val="0"/>
    <w:pPr>
      <w:spacing w:line="460" w:lineRule="exact"/>
    </w:pPr>
  </w:style>
  <w:style w:type="paragraph" w:customStyle="1" w:styleId="537">
    <w:name w:val="样式 自动设置 首行缩进:  2 字符"/>
    <w:basedOn w:val="1"/>
    <w:autoRedefine/>
    <w:qFormat/>
    <w:uiPriority w:val="0"/>
    <w:pPr>
      <w:adjustRightInd/>
      <w:snapToGrid/>
      <w:spacing w:line="400" w:lineRule="exact"/>
    </w:pPr>
    <w:rPr>
      <w:rFonts w:eastAsia="仿宋_GB2312" w:cs="宋体"/>
    </w:rPr>
  </w:style>
  <w:style w:type="paragraph" w:customStyle="1" w:styleId="538">
    <w:name w:val="Char Char2 Char1"/>
    <w:basedOn w:val="1"/>
    <w:autoRedefine/>
    <w:qFormat/>
    <w:uiPriority w:val="0"/>
    <w:pPr>
      <w:adjustRightInd/>
      <w:snapToGrid/>
      <w:spacing w:line="240" w:lineRule="auto"/>
      <w:ind w:firstLine="0" w:firstLineChars="0"/>
    </w:pPr>
    <w:rPr>
      <w:sz w:val="21"/>
      <w:szCs w:val="24"/>
    </w:rPr>
  </w:style>
  <w:style w:type="paragraph" w:customStyle="1" w:styleId="539">
    <w:name w:val="xl77"/>
    <w:basedOn w:val="1"/>
    <w:autoRedefine/>
    <w:qFormat/>
    <w:uiPriority w:val="0"/>
    <w:pPr>
      <w:widowControl/>
      <w:pBdr>
        <w:top w:val="single" w:color="auto" w:sz="4" w:space="0"/>
        <w:left w:val="single" w:color="auto" w:sz="4" w:space="0"/>
        <w:bottom w:val="single" w:color="auto" w:sz="4" w:space="0"/>
      </w:pBdr>
      <w:adjustRightInd/>
      <w:snapToGrid/>
      <w:spacing w:before="100" w:beforeAutospacing="1" w:after="100" w:afterAutospacing="1" w:line="240" w:lineRule="auto"/>
      <w:ind w:firstLine="0" w:firstLineChars="0"/>
      <w:jc w:val="center"/>
      <w:textAlignment w:val="center"/>
    </w:pPr>
    <w:rPr>
      <w:rFonts w:ascii="仿宋_GB2312" w:hAnsi="宋体" w:eastAsia="仿宋_GB2312" w:cs="宋体"/>
      <w:b/>
      <w:bCs/>
      <w:color w:val="FF0000"/>
      <w:kern w:val="0"/>
      <w:sz w:val="21"/>
      <w:szCs w:val="21"/>
    </w:rPr>
  </w:style>
  <w:style w:type="paragraph" w:customStyle="1" w:styleId="540">
    <w:name w:val="样式 宋体 行距: 1.5 倍行距"/>
    <w:basedOn w:val="1"/>
    <w:autoRedefine/>
    <w:qFormat/>
    <w:uiPriority w:val="0"/>
    <w:pPr>
      <w:adjustRightInd/>
      <w:snapToGrid/>
      <w:jc w:val="left"/>
    </w:pPr>
    <w:rPr>
      <w:rFonts w:ascii="宋体" w:hAnsi="宋体" w:cs="宋体"/>
      <w:sz w:val="28"/>
    </w:rPr>
  </w:style>
  <w:style w:type="paragraph" w:customStyle="1" w:styleId="541">
    <w:name w:val="照片编号"/>
    <w:basedOn w:val="1"/>
    <w:autoRedefine/>
    <w:qFormat/>
    <w:uiPriority w:val="0"/>
    <w:pPr>
      <w:widowControl/>
      <w:adjustRightInd/>
      <w:snapToGrid/>
      <w:spacing w:after="200" w:line="276" w:lineRule="auto"/>
      <w:ind w:firstLine="0" w:firstLineChars="0"/>
      <w:jc w:val="center"/>
      <w:textAlignment w:val="center"/>
    </w:pPr>
    <w:rPr>
      <w:rFonts w:ascii="Calibri" w:hAnsi="Calibri" w:eastAsia="华文中宋"/>
      <w:b/>
      <w:kern w:val="0"/>
      <w:szCs w:val="22"/>
    </w:rPr>
  </w:style>
  <w:style w:type="paragraph" w:customStyle="1" w:styleId="542">
    <w:name w:val="xl41"/>
    <w:basedOn w:val="1"/>
    <w:autoRedefine/>
    <w:qFormat/>
    <w:uiPriority w:val="0"/>
    <w:pPr>
      <w:widowControl/>
      <w:pBdr>
        <w:top w:val="single" w:color="auto" w:sz="4" w:space="0"/>
        <w:bottom w:val="single" w:color="auto" w:sz="8" w:space="0"/>
        <w:right w:val="single" w:color="auto" w:sz="4" w:space="0"/>
      </w:pBdr>
      <w:adjustRightInd/>
      <w:snapToGrid/>
      <w:spacing w:before="100" w:beforeAutospacing="1" w:after="100" w:afterAutospacing="1"/>
      <w:jc w:val="center"/>
    </w:pPr>
    <w:rPr>
      <w:rFonts w:ascii="Arial Unicode MS" w:hAnsi="Arial Unicode MS" w:eastAsia="Arial Unicode MS"/>
      <w:kern w:val="0"/>
      <w:sz w:val="20"/>
      <w:szCs w:val="22"/>
    </w:rPr>
  </w:style>
  <w:style w:type="paragraph" w:customStyle="1" w:styleId="543">
    <w:name w:val="煤炭正文"/>
    <w:basedOn w:val="1"/>
    <w:autoRedefine/>
    <w:qFormat/>
    <w:uiPriority w:val="0"/>
    <w:pPr>
      <w:adjustRightInd/>
      <w:snapToGrid/>
      <w:spacing w:line="360" w:lineRule="exact"/>
    </w:pPr>
    <w:rPr>
      <w:rFonts w:eastAsia="楷体_GB2312"/>
      <w:szCs w:val="28"/>
    </w:rPr>
  </w:style>
  <w:style w:type="paragraph" w:customStyle="1" w:styleId="544">
    <w:name w:val="样式 样式2 + 宋体 首行缩进:  2 字符1"/>
    <w:basedOn w:val="162"/>
    <w:autoRedefine/>
    <w:qFormat/>
    <w:uiPriority w:val="0"/>
    <w:pPr>
      <w:tabs>
        <w:tab w:val="clear" w:pos="4153"/>
        <w:tab w:val="clear" w:pos="8306"/>
      </w:tabs>
      <w:adjustRightInd/>
      <w:snapToGrid/>
      <w:spacing w:line="480" w:lineRule="exact"/>
      <w:ind w:firstLine="560"/>
      <w:jc w:val="both"/>
    </w:pPr>
    <w:rPr>
      <w:rFonts w:ascii="宋体" w:hAnsi="宋体" w:cs="宋体"/>
      <w:sz w:val="24"/>
      <w:szCs w:val="20"/>
    </w:rPr>
  </w:style>
  <w:style w:type="paragraph" w:customStyle="1" w:styleId="545">
    <w:name w:val="正文文本缩进 21"/>
    <w:basedOn w:val="1"/>
    <w:autoRedefine/>
    <w:qFormat/>
    <w:uiPriority w:val="0"/>
    <w:pPr>
      <w:adjustRightInd/>
      <w:snapToGrid/>
      <w:spacing w:line="540" w:lineRule="exact"/>
      <w:ind w:firstLine="560"/>
    </w:pPr>
    <w:rPr>
      <w:rFonts w:ascii="宋体" w:hAnsi="宋体" w:eastAsia="华文中宋"/>
      <w:sz w:val="28"/>
    </w:rPr>
  </w:style>
  <w:style w:type="paragraph" w:customStyle="1" w:styleId="546">
    <w:name w:val="封面正文"/>
    <w:autoRedefine/>
    <w:qFormat/>
    <w:uiPriority w:val="0"/>
    <w:pPr>
      <w:jc w:val="both"/>
    </w:pPr>
    <w:rPr>
      <w:rFonts w:ascii="Times New Roman" w:hAnsi="Times New Roman" w:eastAsia="宋体" w:cs="Times New Roman"/>
      <w:lang w:val="en-US" w:eastAsia="zh-CN" w:bidi="ar-SA"/>
    </w:rPr>
  </w:style>
  <w:style w:type="paragraph" w:customStyle="1" w:styleId="547">
    <w:name w:val="Char Char Char1 Char Char Char Char Char Char Char Char Char Char1"/>
    <w:basedOn w:val="1"/>
    <w:autoRedefine/>
    <w:qFormat/>
    <w:uiPriority w:val="0"/>
    <w:pPr>
      <w:adjustRightInd/>
      <w:snapToGrid/>
      <w:spacing w:line="240" w:lineRule="auto"/>
      <w:ind w:firstLine="0" w:firstLineChars="0"/>
    </w:pPr>
    <w:rPr>
      <w:sz w:val="21"/>
      <w:szCs w:val="24"/>
    </w:rPr>
  </w:style>
  <w:style w:type="paragraph" w:customStyle="1" w:styleId="548">
    <w:name w:val="表格标题（左对齐）"/>
    <w:basedOn w:val="1"/>
    <w:autoRedefine/>
    <w:qFormat/>
    <w:uiPriority w:val="0"/>
    <w:pPr>
      <w:widowControl/>
      <w:adjustRightInd/>
      <w:snapToGrid/>
      <w:spacing w:before="120" w:after="120" w:line="400" w:lineRule="atLeast"/>
      <w:ind w:left="425"/>
      <w:jc w:val="center"/>
    </w:pPr>
    <w:rPr>
      <w:rFonts w:ascii="Calibri" w:hAnsi="Calibri" w:eastAsia="黑体"/>
      <w:b/>
      <w:snapToGrid w:val="0"/>
      <w:kern w:val="0"/>
      <w:sz w:val="28"/>
      <w:szCs w:val="22"/>
    </w:rPr>
  </w:style>
  <w:style w:type="paragraph" w:customStyle="1" w:styleId="549">
    <w:name w:val="样式 标题 1 + Times New Roman 首行缩进:  1.35 厘米"/>
    <w:basedOn w:val="4"/>
    <w:autoRedefine/>
    <w:qFormat/>
    <w:uiPriority w:val="0"/>
    <w:pPr>
      <w:keepNext w:val="0"/>
      <w:keepLines w:val="0"/>
      <w:widowControl/>
      <w:adjustRightInd/>
      <w:snapToGrid/>
      <w:spacing w:afterLines="50"/>
      <w:ind w:firstLine="200" w:firstLineChars="200"/>
      <w:jc w:val="left"/>
    </w:pPr>
    <w:rPr>
      <w:rFonts w:ascii="Cambria" w:hAnsi="Cambria" w:eastAsia="黑体"/>
      <w:b w:val="0"/>
      <w:color w:val="21798E"/>
      <w:spacing w:val="10"/>
      <w:kern w:val="0"/>
      <w:sz w:val="28"/>
      <w:szCs w:val="28"/>
    </w:rPr>
  </w:style>
  <w:style w:type="paragraph" w:customStyle="1" w:styleId="550">
    <w:name w:val="目录4"/>
    <w:basedOn w:val="1"/>
    <w:autoRedefine/>
    <w:qFormat/>
    <w:uiPriority w:val="0"/>
    <w:pPr>
      <w:widowControl/>
      <w:tabs>
        <w:tab w:val="left" w:leader="dot" w:pos="7370"/>
      </w:tabs>
      <w:adjustRightInd/>
      <w:snapToGrid/>
      <w:spacing w:line="317" w:lineRule="atLeast"/>
      <w:ind w:firstLine="629" w:firstLineChars="0"/>
      <w:textAlignment w:val="baseline"/>
    </w:pPr>
    <w:rPr>
      <w:color w:val="000000"/>
      <w:kern w:val="0"/>
      <w:sz w:val="21"/>
      <w:u w:color="000000"/>
    </w:rPr>
  </w:style>
  <w:style w:type="paragraph" w:customStyle="1" w:styleId="551">
    <w:name w:val="Char Char Char1 Char1"/>
    <w:basedOn w:val="1"/>
    <w:autoRedefine/>
    <w:qFormat/>
    <w:uiPriority w:val="0"/>
    <w:pPr>
      <w:adjustRightInd/>
      <w:snapToGrid/>
      <w:spacing w:line="240" w:lineRule="auto"/>
      <w:ind w:firstLine="0" w:firstLineChars="0"/>
    </w:pPr>
    <w:rPr>
      <w:sz w:val="21"/>
      <w:szCs w:val="24"/>
    </w:rPr>
  </w:style>
  <w:style w:type="paragraph" w:customStyle="1" w:styleId="552">
    <w:name w:val="缩进"/>
    <w:basedOn w:val="1"/>
    <w:autoRedefine/>
    <w:qFormat/>
    <w:uiPriority w:val="0"/>
    <w:pPr>
      <w:widowControl/>
      <w:autoSpaceDE w:val="0"/>
      <w:autoSpaceDN w:val="0"/>
      <w:snapToGrid/>
      <w:spacing w:after="200" w:line="400" w:lineRule="atLeast"/>
      <w:ind w:firstLine="420" w:firstLineChars="0"/>
      <w:jc w:val="left"/>
    </w:pPr>
    <w:rPr>
      <w:rFonts w:ascii="Calibri" w:hAnsi="Calibri"/>
      <w:kern w:val="0"/>
      <w:szCs w:val="22"/>
    </w:rPr>
  </w:style>
  <w:style w:type="paragraph" w:customStyle="1" w:styleId="553">
    <w:name w:val="其他标准称谓"/>
    <w:autoRedefine/>
    <w:qFormat/>
    <w:uiPriority w:val="0"/>
    <w:pPr>
      <w:spacing w:line="0" w:lineRule="atLeast"/>
      <w:jc w:val="distribute"/>
    </w:pPr>
    <w:rPr>
      <w:rFonts w:ascii="黑体" w:hAnsi="宋体" w:eastAsia="黑体" w:cs="Times New Roman"/>
      <w:sz w:val="52"/>
      <w:lang w:val="en-US" w:eastAsia="zh-CN" w:bidi="ar-SA"/>
    </w:rPr>
  </w:style>
  <w:style w:type="paragraph" w:customStyle="1" w:styleId="554">
    <w:name w:val="Char31"/>
    <w:basedOn w:val="1"/>
    <w:autoRedefine/>
    <w:qFormat/>
    <w:uiPriority w:val="0"/>
    <w:pPr>
      <w:adjustRightInd/>
      <w:snapToGrid/>
      <w:spacing w:line="240" w:lineRule="auto"/>
      <w:ind w:firstLine="0" w:firstLineChars="0"/>
    </w:pPr>
    <w:rPr>
      <w:sz w:val="21"/>
      <w:szCs w:val="24"/>
    </w:rPr>
  </w:style>
  <w:style w:type="paragraph" w:customStyle="1" w:styleId="555">
    <w:name w:val="样式 (中文) 仿宋_GB2312 小四 行距: 固定值 25 磅 首行缩进:  2 字符"/>
    <w:basedOn w:val="1"/>
    <w:autoRedefine/>
    <w:qFormat/>
    <w:uiPriority w:val="0"/>
    <w:pPr>
      <w:adjustRightInd/>
      <w:snapToGrid/>
      <w:spacing w:line="500" w:lineRule="exact"/>
      <w:ind w:firstLine="480"/>
    </w:pPr>
    <w:rPr>
      <w:rFonts w:eastAsia="仿宋_GB2312" w:cs="宋体"/>
      <w:szCs w:val="24"/>
    </w:rPr>
  </w:style>
  <w:style w:type="paragraph" w:customStyle="1" w:styleId="556">
    <w:name w:val="样式 标题 5 + SimSun 小四 行距: 多倍行距 1.25 字行"/>
    <w:basedOn w:val="8"/>
    <w:autoRedefine/>
    <w:qFormat/>
    <w:uiPriority w:val="0"/>
    <w:pPr>
      <w:keepLines/>
      <w:spacing w:line="300" w:lineRule="auto"/>
    </w:pPr>
    <w:rPr>
      <w:szCs w:val="28"/>
    </w:rPr>
  </w:style>
  <w:style w:type="paragraph" w:customStyle="1" w:styleId="557">
    <w:name w:val="Char23"/>
    <w:basedOn w:val="26"/>
    <w:autoRedefine/>
    <w:qFormat/>
    <w:uiPriority w:val="0"/>
    <w:pPr>
      <w:adjustRightInd w:val="0"/>
      <w:spacing w:line="436" w:lineRule="exact"/>
      <w:ind w:left="357"/>
      <w:jc w:val="left"/>
      <w:outlineLvl w:val="3"/>
    </w:pPr>
    <w:rPr>
      <w:rFonts w:ascii="Tahoma" w:hAnsi="Tahoma"/>
      <w:b/>
      <w:sz w:val="24"/>
      <w:szCs w:val="24"/>
    </w:rPr>
  </w:style>
  <w:style w:type="paragraph" w:customStyle="1" w:styleId="558">
    <w:name w:val="样式 样式 标题 1 + Times New Roman 首行缩进:  1.35 厘米 + (中文) 仿宋_GB2312"/>
    <w:basedOn w:val="549"/>
    <w:autoRedefine/>
    <w:qFormat/>
    <w:uiPriority w:val="0"/>
    <w:pPr>
      <w:keepNext/>
      <w:pageBreakBefore w:val="0"/>
      <w:spacing w:before="240" w:afterLines="0" w:line="500" w:lineRule="exact"/>
    </w:pPr>
    <w:rPr>
      <w:b/>
      <w:kern w:val="10"/>
      <w:sz w:val="36"/>
    </w:rPr>
  </w:style>
  <w:style w:type="paragraph" w:customStyle="1" w:styleId="559">
    <w:name w:val="样式 标题 2标题 2 Char + Times New Roman 首行缩进:  0 字符"/>
    <w:basedOn w:val="5"/>
    <w:autoRedefine/>
    <w:qFormat/>
    <w:uiPriority w:val="0"/>
    <w:pPr>
      <w:adjustRightInd/>
      <w:snapToGrid/>
      <w:spacing w:before="0"/>
      <w:jc w:val="both"/>
    </w:pPr>
    <w:rPr>
      <w:rFonts w:ascii="Times New Roman" w:hAnsi="Times New Roman" w:eastAsia="黑体" w:cs="宋体"/>
      <w:b w:val="0"/>
      <w:bCs w:val="0"/>
      <w:szCs w:val="20"/>
    </w:rPr>
  </w:style>
  <w:style w:type="paragraph" w:customStyle="1" w:styleId="560">
    <w:name w:val="於正文"/>
    <w:basedOn w:val="1"/>
    <w:autoRedefine/>
    <w:qFormat/>
    <w:uiPriority w:val="0"/>
    <w:pPr>
      <w:adjustRightInd/>
      <w:snapToGrid/>
    </w:pPr>
    <w:rPr>
      <w:rFonts w:ascii="仿宋_GB2312" w:hAnsi="仿宋_GB2312" w:eastAsia="仿宋_GB2312"/>
      <w:color w:val="0000FF"/>
      <w:sz w:val="30"/>
      <w:szCs w:val="24"/>
    </w:rPr>
  </w:style>
  <w:style w:type="paragraph" w:customStyle="1" w:styleId="561">
    <w:name w:val="样式 小四 首行缩进:  0.85 厘米 行距: 1.5 倍行距"/>
    <w:basedOn w:val="1"/>
    <w:next w:val="1"/>
    <w:autoRedefine/>
    <w:qFormat/>
    <w:uiPriority w:val="0"/>
    <w:pPr>
      <w:snapToGrid/>
      <w:ind w:firstLine="480" w:firstLineChars="0"/>
      <w:textAlignment w:val="baseline"/>
    </w:pPr>
  </w:style>
  <w:style w:type="character" w:customStyle="1" w:styleId="562">
    <w:name w:val="15"/>
    <w:basedOn w:val="89"/>
    <w:autoRedefine/>
    <w:qFormat/>
    <w:uiPriority w:val="0"/>
    <w:rPr>
      <w:rFonts w:hint="eastAsia" w:ascii="黑体" w:hAnsi="黑体" w:eastAsia="黑体"/>
      <w:sz w:val="24"/>
      <w:szCs w:val="24"/>
    </w:rPr>
  </w:style>
  <w:style w:type="paragraph" w:customStyle="1" w:styleId="563">
    <w:name w:val="正文文本 31"/>
    <w:basedOn w:val="1"/>
    <w:autoRedefine/>
    <w:qFormat/>
    <w:uiPriority w:val="0"/>
    <w:pPr>
      <w:adjustRightInd/>
      <w:snapToGrid/>
      <w:spacing w:line="400" w:lineRule="exact"/>
      <w:ind w:firstLine="0" w:firstLineChars="0"/>
      <w:jc w:val="center"/>
    </w:pPr>
  </w:style>
  <w:style w:type="paragraph" w:customStyle="1" w:styleId="564">
    <w:name w:val="_Style 138"/>
    <w:basedOn w:val="26"/>
    <w:autoRedefine/>
    <w:qFormat/>
    <w:uiPriority w:val="0"/>
    <w:pPr>
      <w:adjustRightInd w:val="0"/>
      <w:spacing w:line="436" w:lineRule="exact"/>
      <w:ind w:left="357"/>
      <w:jc w:val="left"/>
      <w:outlineLvl w:val="3"/>
    </w:pPr>
    <w:rPr>
      <w:kern w:val="2"/>
      <w:sz w:val="21"/>
    </w:rPr>
  </w:style>
  <w:style w:type="character" w:customStyle="1" w:styleId="565">
    <w:name w:val="max-130"/>
    <w:basedOn w:val="89"/>
    <w:autoRedefine/>
    <w:qFormat/>
    <w:uiPriority w:val="0"/>
  </w:style>
  <w:style w:type="character" w:customStyle="1" w:styleId="566">
    <w:name w:val="font21"/>
    <w:basedOn w:val="89"/>
    <w:autoRedefine/>
    <w:qFormat/>
    <w:uiPriority w:val="0"/>
    <w:rPr>
      <w:rFonts w:hint="eastAsia" w:ascii="宋体" w:hAnsi="宋体" w:eastAsia="宋体" w:cs="宋体"/>
      <w:color w:val="000000"/>
      <w:sz w:val="21"/>
      <w:szCs w:val="21"/>
      <w:u w:val="none"/>
      <w:vertAlign w:val="superscript"/>
    </w:rPr>
  </w:style>
  <w:style w:type="character" w:customStyle="1" w:styleId="567">
    <w:name w:val="font121"/>
    <w:basedOn w:val="89"/>
    <w:autoRedefine/>
    <w:qFormat/>
    <w:uiPriority w:val="0"/>
    <w:rPr>
      <w:rFonts w:hint="eastAsia" w:ascii="宋体" w:hAnsi="宋体" w:eastAsia="宋体" w:cs="宋体"/>
      <w:color w:val="000000"/>
      <w:sz w:val="20"/>
      <w:szCs w:val="20"/>
      <w:u w:val="none"/>
      <w:vertAlign w:val="superscript"/>
    </w:rPr>
  </w:style>
  <w:style w:type="character" w:customStyle="1" w:styleId="568">
    <w:name w:val="font91"/>
    <w:basedOn w:val="89"/>
    <w:autoRedefine/>
    <w:qFormat/>
    <w:uiPriority w:val="0"/>
    <w:rPr>
      <w:rFonts w:hint="default" w:ascii="Times New Roman" w:hAnsi="Times New Roman" w:cs="Times New Roman"/>
      <w:color w:val="000000"/>
      <w:sz w:val="18"/>
      <w:szCs w:val="18"/>
      <w:u w:val="none"/>
    </w:rPr>
  </w:style>
  <w:style w:type="character" w:customStyle="1" w:styleId="569">
    <w:name w:val="font101"/>
    <w:basedOn w:val="89"/>
    <w:autoRedefine/>
    <w:qFormat/>
    <w:uiPriority w:val="0"/>
    <w:rPr>
      <w:rFonts w:hint="eastAsia" w:ascii="宋体" w:hAnsi="宋体" w:eastAsia="宋体" w:cs="宋体"/>
      <w:color w:val="000000"/>
      <w:sz w:val="18"/>
      <w:szCs w:val="18"/>
      <w:u w:val="none"/>
    </w:rPr>
  </w:style>
  <w:style w:type="character" w:customStyle="1" w:styleId="570">
    <w:name w:val="fontstyle01"/>
    <w:basedOn w:val="89"/>
    <w:autoRedefine/>
    <w:qFormat/>
    <w:uiPriority w:val="0"/>
    <w:rPr>
      <w:rFonts w:hint="eastAsia" w:ascii="宋体" w:hAnsi="宋体" w:eastAsia="宋体"/>
      <w:color w:val="00000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6" Type="http://schemas.openxmlformats.org/officeDocument/2006/relationships/fontTable" Target="fontTable.xml"/><Relationship Id="rId25" Type="http://schemas.openxmlformats.org/officeDocument/2006/relationships/customXml" Target="../customXml/item2.xml"/><Relationship Id="rId24" Type="http://schemas.openxmlformats.org/officeDocument/2006/relationships/customXml" Target="../customXml/item1.xml"/><Relationship Id="rId23" Type="http://schemas.openxmlformats.org/officeDocument/2006/relationships/image" Target="media/image10.png"/><Relationship Id="rId22" Type="http://schemas.openxmlformats.org/officeDocument/2006/relationships/image" Target="media/image9.jpeg"/><Relationship Id="rId21" Type="http://schemas.openxmlformats.org/officeDocument/2006/relationships/image" Target="media/image8.png"/><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jpeg"/><Relationship Id="rId17" Type="http://schemas.openxmlformats.org/officeDocument/2006/relationships/image" Target="media/image4.jpeg"/><Relationship Id="rId16" Type="http://schemas.openxmlformats.org/officeDocument/2006/relationships/image" Target="media/image3.png"/><Relationship Id="rId15" Type="http://schemas.openxmlformats.org/officeDocument/2006/relationships/image" Target="media/image2.jpe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F1F097E-0DDF-4170-8D00-23A2780F2343}">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24</Pages>
  <Words>9661</Words>
  <Characters>11663</Characters>
  <Lines>130</Lines>
  <Paragraphs>36</Paragraphs>
  <TotalTime>4</TotalTime>
  <ScaleCrop>false</ScaleCrop>
  <LinksUpToDate>false</LinksUpToDate>
  <CharactersWithSpaces>12109</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2017-09-29T06:51:00Z</dcterms:created>
  <dc:creator>X</dc:creator>
  <cp:lastModifiedBy>bayasua</cp:lastModifiedBy>
  <cp:lastPrinted>2022-06-01T02:32:00Z</cp:lastPrinted>
  <dcterms:modified xsi:type="dcterms:W3CDTF">2024-03-26T01:42:46Z</dcterms:modified>
  <dc:title>内蒙古自治区林西县宏义矿业有限责任公司萤石矿</dc:title>
  <cp:revision>834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CD712499F8134542922D4DC1528AAD0E_13</vt:lpwstr>
  </property>
</Properties>
</file>