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rPr>
          <w:rFonts w:hint="default" w:ascii="Times New Roman" w:hAnsi="Times New Roman" w:eastAsia="宋体" w:cs="Times New Roman"/>
          <w:b/>
          <w:bCs/>
          <w:color w:val="auto"/>
          <w:sz w:val="36"/>
          <w:szCs w:val="36"/>
        </w:rPr>
      </w:pPr>
    </w:p>
    <w:p>
      <w:pPr>
        <w:bidi w:val="0"/>
        <w:rPr>
          <w:rFonts w:hint="default" w:ascii="Times New Roman" w:hAnsi="Times New Roman" w:eastAsia="宋体" w:cs="Times New Roman"/>
          <w:b/>
          <w:bCs/>
          <w:color w:val="auto"/>
          <w:sz w:val="36"/>
          <w:szCs w:val="36"/>
        </w:rPr>
      </w:pPr>
    </w:p>
    <w:p>
      <w:pPr>
        <w:bidi w:val="0"/>
        <w:rPr>
          <w:rFonts w:hint="default" w:ascii="Times New Roman" w:hAnsi="Times New Roman" w:eastAsia="宋体" w:cs="Times New Roman"/>
          <w:b/>
          <w:bCs/>
          <w:color w:val="auto"/>
          <w:sz w:val="36"/>
          <w:szCs w:val="36"/>
        </w:rPr>
      </w:pPr>
    </w:p>
    <w:p>
      <w:pPr>
        <w:keepNext w:val="0"/>
        <w:keepLines w:val="0"/>
        <w:pageBreakBefore w:val="0"/>
        <w:widowControl/>
        <w:kinsoku/>
        <w:wordWrap/>
        <w:overflowPunct/>
        <w:topLinePunct w:val="0"/>
        <w:autoSpaceDE/>
        <w:autoSpaceDN/>
        <w:bidi w:val="0"/>
        <w:adjustRightInd w:val="0"/>
        <w:snapToGrid w:val="0"/>
        <w:spacing w:line="360" w:lineRule="auto"/>
        <w:ind w:left="-271" w:leftChars="-129" w:right="-407" w:rightChars="-194"/>
        <w:jc w:val="center"/>
        <w:textAlignment w:val="auto"/>
        <w:rPr>
          <w:rFonts w:hint="default" w:ascii="Times New Roman" w:hAnsi="Times New Roman" w:eastAsia="宋体" w:cs="Times New Roman"/>
          <w:b/>
          <w:bCs/>
          <w:color w:val="auto"/>
          <w:w w:val="90"/>
          <w:sz w:val="48"/>
          <w:szCs w:val="48"/>
        </w:rPr>
      </w:pPr>
      <w:bookmarkStart w:id="75" w:name="_GoBack"/>
      <w:r>
        <w:rPr>
          <w:rFonts w:hint="eastAsia" w:ascii="仿宋" w:hAnsi="仿宋" w:eastAsia="仿宋" w:cs="仿宋"/>
          <w:b/>
          <w:bCs/>
          <w:color w:val="auto"/>
          <w:sz w:val="48"/>
          <w:szCs w:val="48"/>
        </w:rPr>
        <w:t>元宝山区美丽河镇大金沟村建筑用石矿</w:t>
      </w:r>
    </w:p>
    <w:p>
      <w:pPr>
        <w:keepNext w:val="0"/>
        <w:keepLines w:val="0"/>
        <w:pageBreakBefore w:val="0"/>
        <w:widowControl/>
        <w:kinsoku/>
        <w:wordWrap/>
        <w:overflowPunct/>
        <w:topLinePunct w:val="0"/>
        <w:autoSpaceDE/>
        <w:autoSpaceDN/>
        <w:bidi w:val="0"/>
        <w:adjustRightInd w:val="0"/>
        <w:snapToGrid w:val="0"/>
        <w:spacing w:before="63" w:beforeLines="20" w:after="63" w:afterLines="20" w:line="360" w:lineRule="auto"/>
        <w:textAlignment w:val="auto"/>
        <w:rPr>
          <w:rFonts w:hint="eastAsia" w:ascii="Times New Roman" w:hAnsi="Times New Roman" w:eastAsia="宋体" w:cs="Times New Roman"/>
          <w:b/>
          <w:bCs/>
          <w:color w:val="auto"/>
          <w:sz w:val="36"/>
          <w:szCs w:val="36"/>
          <w:lang w:val="en-US" w:eastAsia="zh-CN"/>
        </w:rPr>
      </w:pPr>
      <w:r>
        <w:rPr>
          <w:rFonts w:hint="eastAsia" w:eastAsia="宋体" w:cs="Times New Roman"/>
          <w:b/>
          <w:bCs/>
          <w:color w:val="auto"/>
          <w:sz w:val="48"/>
          <w:szCs w:val="48"/>
          <w:lang w:val="en-US" w:eastAsia="zh-CN"/>
        </w:rPr>
        <w:t>2024</w:t>
      </w:r>
      <w:r>
        <w:rPr>
          <w:rFonts w:hint="default" w:ascii="Times New Roman" w:hAnsi="Times New Roman" w:eastAsia="宋体" w:cs="Times New Roman"/>
          <w:b/>
          <w:bCs/>
          <w:color w:val="auto"/>
          <w:sz w:val="48"/>
          <w:szCs w:val="48"/>
        </w:rPr>
        <w:t>年度矿山地质环境</w:t>
      </w:r>
      <w:r>
        <w:rPr>
          <w:rFonts w:hint="default" w:ascii="Times New Roman" w:hAnsi="Times New Roman" w:eastAsia="宋体" w:cs="Times New Roman"/>
          <w:b/>
          <w:bCs/>
          <w:color w:val="auto"/>
          <w:sz w:val="48"/>
          <w:szCs w:val="48"/>
          <w:lang w:eastAsia="zh-CN"/>
        </w:rPr>
        <w:t>治理</w:t>
      </w:r>
      <w:r>
        <w:rPr>
          <w:rFonts w:hint="default" w:ascii="Times New Roman" w:hAnsi="Times New Roman" w:eastAsia="宋体" w:cs="Times New Roman"/>
          <w:b/>
          <w:bCs/>
          <w:color w:val="auto"/>
          <w:sz w:val="48"/>
          <w:szCs w:val="48"/>
        </w:rPr>
        <w:t>计划</w:t>
      </w:r>
      <w:r>
        <w:rPr>
          <w:rFonts w:hint="eastAsia" w:eastAsia="宋体" w:cs="Times New Roman"/>
          <w:b/>
          <w:bCs/>
          <w:color w:val="auto"/>
          <w:sz w:val="48"/>
          <w:szCs w:val="48"/>
          <w:lang w:eastAsia="zh-CN"/>
        </w:rPr>
        <w:t>书</w:t>
      </w:r>
    </w:p>
    <w:bookmarkEnd w:id="75"/>
    <w:p>
      <w:pPr>
        <w:rPr>
          <w:rFonts w:hint="default" w:ascii="Times New Roman" w:hAnsi="Times New Roman" w:eastAsia="宋体" w:cs="Times New Roman"/>
          <w:color w:val="auto"/>
          <w:sz w:val="44"/>
          <w:szCs w:val="44"/>
        </w:rPr>
      </w:pPr>
    </w:p>
    <w:p>
      <w:pPr>
        <w:rPr>
          <w:rFonts w:hint="default" w:ascii="Times New Roman" w:hAnsi="Times New Roman" w:eastAsia="宋体" w:cs="Times New Roman"/>
          <w:color w:val="auto"/>
          <w:sz w:val="44"/>
          <w:szCs w:val="44"/>
        </w:rPr>
      </w:pPr>
    </w:p>
    <w:p>
      <w:pPr>
        <w:rPr>
          <w:rFonts w:hint="default" w:ascii="Times New Roman" w:hAnsi="Times New Roman" w:eastAsia="宋体" w:cs="Times New Roman"/>
          <w:color w:val="auto"/>
          <w:sz w:val="44"/>
          <w:szCs w:val="44"/>
        </w:rPr>
      </w:pPr>
    </w:p>
    <w:p>
      <w:pPr>
        <w:rPr>
          <w:rFonts w:hint="default" w:ascii="Times New Roman" w:hAnsi="Times New Roman" w:eastAsia="宋体" w:cs="Times New Roman"/>
          <w:color w:val="auto"/>
          <w:sz w:val="44"/>
          <w:szCs w:val="44"/>
        </w:rPr>
      </w:pPr>
    </w:p>
    <w:p>
      <w:pPr>
        <w:rPr>
          <w:rFonts w:hint="default" w:ascii="Times New Roman" w:hAnsi="Times New Roman" w:eastAsia="宋体" w:cs="Times New Roman"/>
          <w:color w:val="auto"/>
          <w:sz w:val="44"/>
          <w:szCs w:val="44"/>
        </w:rPr>
      </w:pPr>
    </w:p>
    <w:p>
      <w:pPr>
        <w:rPr>
          <w:rFonts w:hint="default" w:ascii="Times New Roman" w:hAnsi="Times New Roman" w:eastAsia="宋体" w:cs="Times New Roman"/>
          <w:color w:val="auto"/>
          <w:sz w:val="44"/>
          <w:szCs w:val="44"/>
        </w:rPr>
      </w:pPr>
    </w:p>
    <w:p>
      <w:pPr>
        <w:rPr>
          <w:rFonts w:hint="default" w:ascii="Times New Roman" w:hAnsi="Times New Roman" w:eastAsia="宋体" w:cs="Times New Roman"/>
          <w:color w:val="auto"/>
          <w:sz w:val="44"/>
          <w:szCs w:val="44"/>
        </w:rPr>
      </w:pPr>
    </w:p>
    <w:p>
      <w:pPr>
        <w:rPr>
          <w:rFonts w:hint="default" w:ascii="Times New Roman" w:hAnsi="Times New Roman" w:eastAsia="宋体" w:cs="Times New Roman"/>
          <w:color w:val="auto"/>
          <w:sz w:val="44"/>
          <w:szCs w:val="44"/>
        </w:rPr>
      </w:pPr>
    </w:p>
    <w:p>
      <w:pPr>
        <w:pStyle w:val="2"/>
        <w:rPr>
          <w:rFonts w:hint="default"/>
          <w:color w:val="auto"/>
        </w:rPr>
      </w:pPr>
    </w:p>
    <w:p>
      <w:pPr>
        <w:jc w:val="both"/>
        <w:rPr>
          <w:rFonts w:hint="default" w:ascii="Times New Roman" w:hAnsi="Times New Roman" w:eastAsia="宋体" w:cs="Times New Roman"/>
          <w:color w:val="auto"/>
          <w:sz w:val="44"/>
          <w:szCs w:val="44"/>
        </w:rPr>
      </w:pPr>
    </w:p>
    <w:p>
      <w:pPr>
        <w:rPr>
          <w:rFonts w:hint="default" w:ascii="Times New Roman" w:hAnsi="Times New Roman" w:eastAsia="宋体" w:cs="Times New Roman"/>
          <w:color w:val="auto"/>
          <w:sz w:val="44"/>
          <w:szCs w:val="44"/>
        </w:rPr>
      </w:pPr>
    </w:p>
    <w:p>
      <w:pPr>
        <w:rPr>
          <w:rFonts w:hint="default" w:ascii="Times New Roman" w:hAnsi="Times New Roman" w:eastAsia="宋体" w:cs="Times New Roman"/>
          <w:color w:val="auto"/>
          <w:sz w:val="44"/>
          <w:szCs w:val="44"/>
        </w:rPr>
      </w:pPr>
    </w:p>
    <w:p>
      <w:pPr>
        <w:rPr>
          <w:rFonts w:hint="default" w:ascii="Times New Roman" w:hAnsi="Times New Roman" w:eastAsia="宋体" w:cs="Times New Roman"/>
          <w:color w:val="auto"/>
          <w:sz w:val="32"/>
          <w:szCs w:val="32"/>
        </w:rPr>
      </w:pPr>
    </w:p>
    <w:p>
      <w:pPr>
        <w:rPr>
          <w:rFonts w:hint="default" w:ascii="Times New Roman" w:hAnsi="Times New Roman" w:eastAsia="宋体" w:cs="Times New Roman"/>
          <w:color w:val="auto"/>
          <w:sz w:val="32"/>
          <w:szCs w:val="32"/>
        </w:rPr>
      </w:pPr>
    </w:p>
    <w:p>
      <w:pPr>
        <w:rPr>
          <w:rFonts w:hint="default" w:ascii="Times New Roman" w:hAnsi="Times New Roman" w:eastAsia="宋体" w:cs="Times New Roman"/>
          <w:color w:val="auto"/>
          <w:sz w:val="32"/>
          <w:szCs w:val="32"/>
        </w:rPr>
      </w:pPr>
    </w:p>
    <w:p>
      <w:pPr>
        <w:rPr>
          <w:rFonts w:hint="default" w:ascii="Times New Roman" w:hAnsi="Times New Roman" w:eastAsia="宋体" w:cs="Times New Roman"/>
          <w:color w:val="auto"/>
          <w:sz w:val="32"/>
          <w:szCs w:val="32"/>
        </w:rPr>
      </w:pPr>
    </w:p>
    <w:p>
      <w:pPr>
        <w:rPr>
          <w:rFonts w:hint="default" w:ascii="Times New Roman" w:hAnsi="Times New Roman" w:eastAsia="宋体" w:cs="Times New Roman"/>
          <w:color w:val="auto"/>
          <w:sz w:val="32"/>
          <w:szCs w:val="32"/>
        </w:rPr>
      </w:pPr>
    </w:p>
    <w:p>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color w:val="auto"/>
          <w:sz w:val="32"/>
          <w:szCs w:val="32"/>
        </w:rPr>
      </w:pPr>
      <w:r>
        <w:rPr>
          <w:rFonts w:hint="eastAsia" w:ascii="Times New Roman" w:hAnsi="Times New Roman" w:eastAsia="宋体" w:cs="Times New Roman"/>
          <w:color w:val="auto"/>
          <w:sz w:val="32"/>
          <w:szCs w:val="32"/>
          <w:lang w:val="en-US" w:eastAsia="zh-CN"/>
        </w:rPr>
        <w:t>赤峰比尔商贸有限公司</w:t>
      </w:r>
    </w:p>
    <w:p>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color w:val="auto"/>
          <w:sz w:val="32"/>
          <w:szCs w:val="32"/>
        </w:rPr>
      </w:pPr>
      <w:r>
        <w:rPr>
          <w:rFonts w:hint="default" w:ascii="Times New Roman" w:hAnsi="Times New Roman" w:eastAsia="宋体" w:cs="Times New Roman"/>
          <w:color w:val="auto"/>
          <w:sz w:val="32"/>
          <w:szCs w:val="32"/>
        </w:rPr>
        <w:t>二〇</w:t>
      </w:r>
      <w:r>
        <w:rPr>
          <w:rFonts w:hint="default" w:ascii="Times New Roman" w:hAnsi="Times New Roman" w:eastAsia="宋体" w:cs="Times New Roman"/>
          <w:color w:val="auto"/>
          <w:sz w:val="32"/>
          <w:szCs w:val="32"/>
          <w:lang w:eastAsia="zh-CN"/>
        </w:rPr>
        <w:t>二</w:t>
      </w:r>
      <w:r>
        <w:rPr>
          <w:rFonts w:hint="eastAsia" w:eastAsia="宋体" w:cs="Times New Roman"/>
          <w:color w:val="auto"/>
          <w:sz w:val="32"/>
          <w:szCs w:val="32"/>
          <w:lang w:val="en-US" w:eastAsia="zh-CN"/>
        </w:rPr>
        <w:t>四</w:t>
      </w:r>
      <w:r>
        <w:rPr>
          <w:rFonts w:hint="default" w:ascii="Times New Roman" w:hAnsi="Times New Roman" w:eastAsia="宋体" w:cs="Times New Roman"/>
          <w:color w:val="auto"/>
          <w:sz w:val="32"/>
          <w:szCs w:val="32"/>
        </w:rPr>
        <w:t>年</w:t>
      </w:r>
      <w:r>
        <w:rPr>
          <w:rFonts w:hint="eastAsia" w:eastAsia="宋体" w:cs="Times New Roman"/>
          <w:color w:val="auto"/>
          <w:sz w:val="32"/>
          <w:szCs w:val="32"/>
          <w:lang w:val="en-US" w:eastAsia="zh-CN"/>
        </w:rPr>
        <w:t>三</w:t>
      </w:r>
      <w:r>
        <w:rPr>
          <w:rFonts w:hint="default" w:ascii="Times New Roman" w:hAnsi="Times New Roman" w:eastAsia="宋体" w:cs="Times New Roman"/>
          <w:color w:val="auto"/>
          <w:sz w:val="32"/>
          <w:szCs w:val="32"/>
        </w:rPr>
        <w:t>月</w:t>
      </w:r>
    </w:p>
    <w:p>
      <w:pPr>
        <w:jc w:val="both"/>
        <w:rPr>
          <w:rFonts w:hint="default" w:ascii="Times New Roman" w:hAnsi="Times New Roman" w:eastAsia="宋体" w:cs="Times New Roman"/>
          <w:color w:val="auto"/>
          <w:sz w:val="36"/>
          <w:szCs w:val="36"/>
        </w:rPr>
      </w:pPr>
    </w:p>
    <w:p>
      <w:pPr>
        <w:ind w:firstLine="3240" w:firstLineChars="900"/>
        <w:jc w:val="both"/>
        <w:rPr>
          <w:rFonts w:hint="default" w:ascii="Times New Roman" w:hAnsi="Times New Roman" w:eastAsia="宋体" w:cs="Times New Roman"/>
          <w:color w:val="auto"/>
          <w:sz w:val="36"/>
          <w:szCs w:val="36"/>
        </w:rPr>
      </w:pPr>
    </w:p>
    <w:p>
      <w:pPr>
        <w:ind w:firstLine="1890" w:firstLineChars="900"/>
        <w:jc w:val="both"/>
        <w:rPr>
          <w:rFonts w:hint="default" w:ascii="Times New Roman" w:hAnsi="Times New Roman" w:eastAsia="宋体" w:cs="Times New Roman"/>
          <w:color w:val="auto"/>
        </w:rPr>
      </w:pPr>
    </w:p>
    <w:p>
      <w:pPr>
        <w:rPr>
          <w:rFonts w:hint="default" w:ascii="Times New Roman" w:hAnsi="Times New Roman" w:eastAsia="宋体" w:cs="Times New Roman"/>
          <w:b/>
          <w:color w:val="auto"/>
        </w:rPr>
      </w:pPr>
      <w:r>
        <w:rPr>
          <w:rFonts w:hint="default" w:ascii="Times New Roman" w:hAnsi="Times New Roman" w:eastAsia="宋体" w:cs="Times New Roman"/>
          <w:b/>
          <w:color w:val="auto"/>
        </w:rPr>
        <w:br w:type="page"/>
      </w:r>
    </w:p>
    <w:sdt>
      <w:sdtPr>
        <w:rPr>
          <w:rFonts w:hint="default" w:ascii="Times New Roman" w:hAnsi="Times New Roman" w:eastAsia="宋体" w:cs="Times New Roman"/>
          <w:color w:val="auto"/>
          <w:kern w:val="2"/>
          <w:sz w:val="21"/>
          <w:szCs w:val="21"/>
          <w:lang w:val="en-US" w:eastAsia="zh-CN" w:bidi="ar-SA"/>
        </w:rPr>
        <w:id w:val="147480721"/>
        <w15:color w:val="DBDBDB"/>
        <w:docPartObj>
          <w:docPartGallery w:val="Table of Contents"/>
          <w:docPartUnique/>
        </w:docPartObj>
      </w:sdtPr>
      <w:sdtEndPr>
        <w:rPr>
          <w:rFonts w:hint="default" w:ascii="Times New Roman" w:hAnsi="Times New Roman" w:eastAsia="宋体" w:cs="Times New Roman"/>
          <w:b/>
          <w:color w:val="auto"/>
          <w:kern w:val="2"/>
          <w:sz w:val="21"/>
          <w:szCs w:val="21"/>
          <w:lang w:val="en-US" w:eastAsia="zh-CN" w:bidi="ar-SA"/>
        </w:rPr>
      </w:sdtEndPr>
      <w:sdtContent>
        <w:p>
          <w:pPr>
            <w:spacing w:before="0" w:beforeLines="0" w:after="0" w:afterLines="0" w:line="240" w:lineRule="auto"/>
            <w:ind w:left="0" w:leftChars="0" w:right="0" w:rightChars="0" w:firstLine="0" w:firstLineChars="0"/>
            <w:jc w:val="center"/>
            <w:rPr>
              <w:rFonts w:hint="default" w:ascii="Times New Roman" w:hAnsi="Times New Roman" w:eastAsia="宋体" w:cs="Times New Roman"/>
              <w:color w:val="auto"/>
            </w:rPr>
          </w:pPr>
          <w:r>
            <w:rPr>
              <w:rFonts w:hint="default" w:ascii="Times New Roman" w:hAnsi="Times New Roman" w:eastAsia="宋体" w:cs="Times New Roman"/>
              <w:b/>
              <w:bCs/>
              <w:color w:val="auto"/>
              <w:sz w:val="36"/>
              <w:szCs w:val="36"/>
            </w:rPr>
            <w:t>目</w:t>
          </w:r>
          <w:r>
            <w:rPr>
              <w:rFonts w:hint="default" w:ascii="Times New Roman" w:hAnsi="Times New Roman" w:eastAsia="宋体" w:cs="Times New Roman"/>
              <w:b/>
              <w:bCs/>
              <w:color w:val="auto"/>
              <w:sz w:val="36"/>
              <w:szCs w:val="36"/>
              <w:lang w:val="en-US" w:eastAsia="zh-CN"/>
            </w:rPr>
            <w:t xml:space="preserve">  </w:t>
          </w:r>
          <w:r>
            <w:rPr>
              <w:rFonts w:hint="default" w:ascii="Times New Roman" w:hAnsi="Times New Roman" w:eastAsia="宋体" w:cs="Times New Roman"/>
              <w:b/>
              <w:bCs/>
              <w:color w:val="auto"/>
              <w:sz w:val="36"/>
              <w:szCs w:val="36"/>
            </w:rPr>
            <w:t>录</w:t>
          </w:r>
        </w:p>
        <w:p>
          <w:pPr>
            <w:pStyle w:val="6"/>
            <w:keepNext w:val="0"/>
            <w:keepLines w:val="0"/>
            <w:pageBreakBefore w:val="0"/>
            <w:widowControl/>
            <w:tabs>
              <w:tab w:val="right" w:leader="dot" w:pos="8306"/>
            </w:tabs>
            <w:kinsoku/>
            <w:wordWrap/>
            <w:overflowPunct/>
            <w:topLinePunct w:val="0"/>
            <w:autoSpaceDE/>
            <w:autoSpaceDN/>
            <w:bidi w:val="0"/>
            <w:adjustRightInd w:val="0"/>
            <w:snapToGrid w:val="0"/>
            <w:spacing w:line="432" w:lineRule="auto"/>
            <w:textAlignment w:val="auto"/>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TOC \o "1-2" \h \u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_Toc1062 </w:instrText>
          </w:r>
          <w:r>
            <w:rPr>
              <w:rFonts w:hint="default" w:ascii="Times New Roman" w:hAnsi="Times New Roman" w:eastAsia="宋体" w:cs="Times New Roman"/>
            </w:rPr>
            <w:fldChar w:fldCharType="separate"/>
          </w:r>
          <w:r>
            <w:rPr>
              <w:rFonts w:hint="eastAsia" w:ascii="Times New Roman" w:hAnsi="Times New Roman" w:eastAsia="宋体" w:cs="Times New Roman"/>
              <w:bCs/>
              <w:szCs w:val="32"/>
              <w:lang w:val="en-US" w:eastAsia="zh-CN"/>
            </w:rPr>
            <w:t xml:space="preserve">第一章 </w:t>
          </w:r>
          <w:r>
            <w:rPr>
              <w:rFonts w:hint="default" w:ascii="Times New Roman" w:hAnsi="Times New Roman" w:eastAsia="宋体" w:cs="Times New Roman"/>
              <w:bCs/>
              <w:szCs w:val="32"/>
              <w:lang w:val="en-US" w:eastAsia="zh-CN"/>
            </w:rPr>
            <w:t>矿山基本情况</w:t>
          </w:r>
          <w:r>
            <w:tab/>
          </w:r>
          <w:r>
            <w:fldChar w:fldCharType="begin"/>
          </w:r>
          <w:r>
            <w:instrText xml:space="preserve"> PAGEREF _Toc1062 \h </w:instrText>
          </w:r>
          <w:r>
            <w:fldChar w:fldCharType="separate"/>
          </w:r>
          <w:r>
            <w:t>1</w:t>
          </w:r>
          <w:r>
            <w:fldChar w:fldCharType="end"/>
          </w:r>
          <w:r>
            <w:rPr>
              <w:rFonts w:hint="default" w:ascii="Times New Roman" w:hAnsi="Times New Roman" w:eastAsia="宋体" w:cs="Times New Roman"/>
              <w:color w:val="auto"/>
            </w:rPr>
            <w:fldChar w:fldCharType="end"/>
          </w:r>
        </w:p>
        <w:p>
          <w:pPr>
            <w:pStyle w:val="6"/>
            <w:keepNext w:val="0"/>
            <w:keepLines w:val="0"/>
            <w:pageBreakBefore w:val="0"/>
            <w:widowControl/>
            <w:tabs>
              <w:tab w:val="right" w:leader="dot" w:pos="8306"/>
            </w:tabs>
            <w:kinsoku/>
            <w:wordWrap/>
            <w:overflowPunct/>
            <w:topLinePunct w:val="0"/>
            <w:autoSpaceDE/>
            <w:autoSpaceDN/>
            <w:bidi w:val="0"/>
            <w:adjustRightInd w:val="0"/>
            <w:snapToGrid w:val="0"/>
            <w:spacing w:line="432" w:lineRule="auto"/>
            <w:textAlignment w:val="auto"/>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_Toc4103 </w:instrText>
          </w:r>
          <w:r>
            <w:rPr>
              <w:rFonts w:hint="default" w:ascii="Times New Roman" w:hAnsi="Times New Roman" w:eastAsia="宋体" w:cs="Times New Roman"/>
            </w:rPr>
            <w:fldChar w:fldCharType="separate"/>
          </w:r>
          <w:r>
            <w:rPr>
              <w:rFonts w:hint="eastAsia" w:ascii="Times New Roman" w:hAnsi="Times New Roman" w:eastAsia="宋体" w:cs="Times New Roman"/>
              <w:bCs/>
              <w:szCs w:val="32"/>
              <w:lang w:val="en-US" w:eastAsia="zh-CN"/>
            </w:rPr>
            <w:t xml:space="preserve">第二章 </w:t>
          </w:r>
          <w:r>
            <w:rPr>
              <w:rFonts w:hint="default" w:ascii="Times New Roman" w:hAnsi="Times New Roman" w:eastAsia="宋体" w:cs="Times New Roman"/>
              <w:bCs/>
              <w:szCs w:val="32"/>
              <w:lang w:val="en-US" w:eastAsia="zh-CN"/>
            </w:rPr>
            <w:t>矿山地质环境治理方案的编制与执行情况</w:t>
          </w:r>
          <w:r>
            <w:tab/>
          </w:r>
          <w:r>
            <w:fldChar w:fldCharType="begin"/>
          </w:r>
          <w:r>
            <w:instrText xml:space="preserve"> PAGEREF _Toc4103 \h </w:instrText>
          </w:r>
          <w:r>
            <w:fldChar w:fldCharType="separate"/>
          </w:r>
          <w:r>
            <w:t>2</w:t>
          </w:r>
          <w:r>
            <w:fldChar w:fldCharType="end"/>
          </w:r>
          <w:r>
            <w:rPr>
              <w:rFonts w:hint="default" w:ascii="Times New Roman" w:hAnsi="Times New Roman" w:eastAsia="宋体" w:cs="Times New Roman"/>
              <w:color w:val="auto"/>
            </w:rPr>
            <w:fldChar w:fldCharType="end"/>
          </w:r>
        </w:p>
        <w:p>
          <w:pPr>
            <w:pStyle w:val="7"/>
            <w:keepNext w:val="0"/>
            <w:keepLines w:val="0"/>
            <w:pageBreakBefore w:val="0"/>
            <w:widowControl/>
            <w:tabs>
              <w:tab w:val="right" w:leader="dot" w:pos="8306"/>
            </w:tabs>
            <w:kinsoku/>
            <w:wordWrap/>
            <w:overflowPunct/>
            <w:topLinePunct w:val="0"/>
            <w:autoSpaceDE/>
            <w:autoSpaceDN/>
            <w:bidi w:val="0"/>
            <w:adjustRightInd w:val="0"/>
            <w:snapToGrid w:val="0"/>
            <w:spacing w:line="432" w:lineRule="auto"/>
            <w:ind w:firstLine="240" w:firstLineChars="100"/>
            <w:textAlignment w:val="auto"/>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_Toc2966 </w:instrText>
          </w:r>
          <w:r>
            <w:rPr>
              <w:rFonts w:hint="default" w:ascii="Times New Roman" w:hAnsi="Times New Roman" w:eastAsia="宋体" w:cs="Times New Roman"/>
            </w:rPr>
            <w:fldChar w:fldCharType="separate"/>
          </w:r>
          <w:r>
            <w:rPr>
              <w:rFonts w:hint="default" w:ascii="Times New Roman" w:hAnsi="Times New Roman" w:eastAsia="宋体" w:cs="Times New Roman"/>
              <w:bCs/>
              <w:szCs w:val="28"/>
              <w:lang w:val="en-US" w:eastAsia="zh-CN"/>
            </w:rPr>
            <w:t>一、方案编制概况</w:t>
          </w:r>
          <w:r>
            <w:tab/>
          </w:r>
          <w:r>
            <w:fldChar w:fldCharType="begin"/>
          </w:r>
          <w:r>
            <w:instrText xml:space="preserve"> PAGEREF _Toc2966 \h </w:instrText>
          </w:r>
          <w:r>
            <w:fldChar w:fldCharType="separate"/>
          </w:r>
          <w:r>
            <w:t>2</w:t>
          </w:r>
          <w:r>
            <w:fldChar w:fldCharType="end"/>
          </w:r>
          <w:r>
            <w:rPr>
              <w:rFonts w:hint="default" w:ascii="Times New Roman" w:hAnsi="Times New Roman" w:eastAsia="宋体" w:cs="Times New Roman"/>
              <w:color w:val="auto"/>
            </w:rPr>
            <w:fldChar w:fldCharType="end"/>
          </w:r>
        </w:p>
        <w:p>
          <w:pPr>
            <w:pStyle w:val="7"/>
            <w:keepNext w:val="0"/>
            <w:keepLines w:val="0"/>
            <w:pageBreakBefore w:val="0"/>
            <w:widowControl/>
            <w:tabs>
              <w:tab w:val="right" w:leader="dot" w:pos="8306"/>
            </w:tabs>
            <w:kinsoku/>
            <w:wordWrap/>
            <w:overflowPunct/>
            <w:topLinePunct w:val="0"/>
            <w:autoSpaceDE/>
            <w:autoSpaceDN/>
            <w:bidi w:val="0"/>
            <w:adjustRightInd w:val="0"/>
            <w:snapToGrid w:val="0"/>
            <w:spacing w:line="432" w:lineRule="auto"/>
            <w:ind w:firstLine="240" w:firstLineChars="100"/>
            <w:textAlignment w:val="auto"/>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_Toc7497 </w:instrText>
          </w:r>
          <w:r>
            <w:rPr>
              <w:rFonts w:hint="default" w:ascii="Times New Roman" w:hAnsi="Times New Roman" w:eastAsia="宋体" w:cs="Times New Roman"/>
            </w:rPr>
            <w:fldChar w:fldCharType="separate"/>
          </w:r>
          <w:r>
            <w:rPr>
              <w:rFonts w:hint="default" w:ascii="Times New Roman" w:hAnsi="Times New Roman" w:eastAsia="宋体" w:cs="Times New Roman"/>
              <w:bCs/>
              <w:szCs w:val="28"/>
              <w:lang w:val="en-US" w:eastAsia="zh-CN"/>
            </w:rPr>
            <w:t>二、治理方案规划的近期治理工程内容</w:t>
          </w:r>
          <w:r>
            <w:tab/>
          </w:r>
          <w:r>
            <w:fldChar w:fldCharType="begin"/>
          </w:r>
          <w:r>
            <w:instrText xml:space="preserve"> PAGEREF _Toc7497 \h </w:instrText>
          </w:r>
          <w:r>
            <w:fldChar w:fldCharType="separate"/>
          </w:r>
          <w:r>
            <w:t>2</w:t>
          </w:r>
          <w:r>
            <w:fldChar w:fldCharType="end"/>
          </w:r>
          <w:r>
            <w:rPr>
              <w:rFonts w:hint="default" w:ascii="Times New Roman" w:hAnsi="Times New Roman" w:eastAsia="宋体" w:cs="Times New Roman"/>
              <w:color w:val="auto"/>
            </w:rPr>
            <w:fldChar w:fldCharType="end"/>
          </w:r>
        </w:p>
        <w:p>
          <w:pPr>
            <w:pStyle w:val="7"/>
            <w:keepNext w:val="0"/>
            <w:keepLines w:val="0"/>
            <w:pageBreakBefore w:val="0"/>
            <w:widowControl/>
            <w:tabs>
              <w:tab w:val="right" w:leader="dot" w:pos="8306"/>
            </w:tabs>
            <w:kinsoku/>
            <w:wordWrap/>
            <w:overflowPunct/>
            <w:topLinePunct w:val="0"/>
            <w:autoSpaceDE/>
            <w:autoSpaceDN/>
            <w:bidi w:val="0"/>
            <w:adjustRightInd w:val="0"/>
            <w:snapToGrid w:val="0"/>
            <w:spacing w:line="432" w:lineRule="auto"/>
            <w:ind w:firstLine="240" w:firstLineChars="100"/>
            <w:textAlignment w:val="auto"/>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_Toc30013 </w:instrText>
          </w:r>
          <w:r>
            <w:rPr>
              <w:rFonts w:hint="default" w:ascii="Times New Roman" w:hAnsi="Times New Roman" w:eastAsia="宋体" w:cs="Times New Roman"/>
            </w:rPr>
            <w:fldChar w:fldCharType="separate"/>
          </w:r>
          <w:r>
            <w:rPr>
              <w:rFonts w:hint="eastAsia" w:ascii="Times New Roman" w:hAnsi="Times New Roman" w:eastAsia="宋体" w:cs="Times New Roman"/>
              <w:bCs/>
              <w:szCs w:val="28"/>
              <w:lang w:val="en-US" w:eastAsia="zh-CN"/>
            </w:rPr>
            <w:t>三</w:t>
          </w:r>
          <w:r>
            <w:rPr>
              <w:rFonts w:hint="default" w:ascii="Times New Roman" w:hAnsi="Times New Roman" w:eastAsia="宋体" w:cs="Times New Roman"/>
              <w:bCs/>
              <w:szCs w:val="28"/>
              <w:lang w:val="en-US" w:eastAsia="zh-CN"/>
            </w:rPr>
            <w:t>、治理方案</w:t>
          </w:r>
          <w:r>
            <w:rPr>
              <w:rFonts w:hint="eastAsia" w:ascii="Times New Roman" w:hAnsi="Times New Roman" w:eastAsia="宋体" w:cs="Times New Roman"/>
              <w:bCs/>
              <w:szCs w:val="28"/>
              <w:lang w:val="en-US" w:eastAsia="zh-CN"/>
            </w:rPr>
            <w:t>执行情况</w:t>
          </w:r>
          <w:r>
            <w:tab/>
          </w:r>
          <w:r>
            <w:fldChar w:fldCharType="begin"/>
          </w:r>
          <w:r>
            <w:instrText xml:space="preserve"> PAGEREF _Toc30013 \h </w:instrText>
          </w:r>
          <w:r>
            <w:fldChar w:fldCharType="separate"/>
          </w:r>
          <w:r>
            <w:t>3</w:t>
          </w:r>
          <w:r>
            <w:fldChar w:fldCharType="end"/>
          </w:r>
          <w:r>
            <w:rPr>
              <w:rFonts w:hint="default" w:ascii="Times New Roman" w:hAnsi="Times New Roman" w:eastAsia="宋体" w:cs="Times New Roman"/>
              <w:color w:val="auto"/>
            </w:rPr>
            <w:fldChar w:fldCharType="end"/>
          </w:r>
        </w:p>
        <w:p>
          <w:pPr>
            <w:pStyle w:val="6"/>
            <w:keepNext w:val="0"/>
            <w:keepLines w:val="0"/>
            <w:pageBreakBefore w:val="0"/>
            <w:widowControl/>
            <w:tabs>
              <w:tab w:val="right" w:leader="dot" w:pos="8306"/>
            </w:tabs>
            <w:kinsoku/>
            <w:wordWrap/>
            <w:overflowPunct/>
            <w:topLinePunct w:val="0"/>
            <w:autoSpaceDE/>
            <w:autoSpaceDN/>
            <w:bidi w:val="0"/>
            <w:adjustRightInd w:val="0"/>
            <w:snapToGrid w:val="0"/>
            <w:spacing w:line="432" w:lineRule="auto"/>
            <w:textAlignment w:val="auto"/>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_Toc14249 </w:instrText>
          </w:r>
          <w:r>
            <w:rPr>
              <w:rFonts w:hint="default" w:ascii="Times New Roman" w:hAnsi="Times New Roman" w:eastAsia="宋体" w:cs="Times New Roman"/>
            </w:rPr>
            <w:fldChar w:fldCharType="separate"/>
          </w:r>
          <w:r>
            <w:rPr>
              <w:rFonts w:hint="eastAsia" w:ascii="Times New Roman" w:hAnsi="Times New Roman" w:eastAsia="宋体" w:cs="Times New Roman"/>
              <w:bCs/>
              <w:szCs w:val="32"/>
              <w:lang w:val="en-US" w:eastAsia="zh-CN"/>
            </w:rPr>
            <w:t xml:space="preserve">第三章 </w:t>
          </w:r>
          <w:r>
            <w:rPr>
              <w:rFonts w:hint="default" w:ascii="Times New Roman" w:hAnsi="Times New Roman" w:eastAsia="宋体" w:cs="Times New Roman"/>
              <w:bCs/>
              <w:szCs w:val="32"/>
              <w:lang w:val="en-US" w:eastAsia="zh-CN"/>
            </w:rPr>
            <w:t>本年度矿山生产计划</w:t>
          </w:r>
          <w:r>
            <w:tab/>
          </w:r>
          <w:r>
            <w:fldChar w:fldCharType="begin"/>
          </w:r>
          <w:r>
            <w:instrText xml:space="preserve"> PAGEREF _Toc14249 \h </w:instrText>
          </w:r>
          <w:r>
            <w:fldChar w:fldCharType="separate"/>
          </w:r>
          <w:r>
            <w:t>5</w:t>
          </w:r>
          <w:r>
            <w:fldChar w:fldCharType="end"/>
          </w:r>
          <w:r>
            <w:rPr>
              <w:rFonts w:hint="default" w:ascii="Times New Roman" w:hAnsi="Times New Roman" w:eastAsia="宋体" w:cs="Times New Roman"/>
              <w:color w:val="auto"/>
            </w:rPr>
            <w:fldChar w:fldCharType="end"/>
          </w:r>
        </w:p>
        <w:p>
          <w:pPr>
            <w:pStyle w:val="7"/>
            <w:keepNext w:val="0"/>
            <w:keepLines w:val="0"/>
            <w:pageBreakBefore w:val="0"/>
            <w:widowControl/>
            <w:tabs>
              <w:tab w:val="right" w:leader="dot" w:pos="8306"/>
            </w:tabs>
            <w:kinsoku/>
            <w:wordWrap/>
            <w:overflowPunct/>
            <w:topLinePunct w:val="0"/>
            <w:autoSpaceDE/>
            <w:autoSpaceDN/>
            <w:bidi w:val="0"/>
            <w:adjustRightInd w:val="0"/>
            <w:snapToGrid w:val="0"/>
            <w:spacing w:line="432" w:lineRule="auto"/>
            <w:ind w:firstLine="240" w:firstLineChars="100"/>
            <w:textAlignment w:val="auto"/>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_Toc32063 </w:instrText>
          </w:r>
          <w:r>
            <w:rPr>
              <w:rFonts w:hint="default" w:ascii="Times New Roman" w:hAnsi="Times New Roman" w:eastAsia="宋体" w:cs="Times New Roman"/>
            </w:rPr>
            <w:fldChar w:fldCharType="separate"/>
          </w:r>
          <w:r>
            <w:rPr>
              <w:rFonts w:hint="default" w:ascii="Times New Roman" w:hAnsi="Times New Roman" w:eastAsia="宋体" w:cs="Times New Roman"/>
              <w:bCs/>
              <w:szCs w:val="28"/>
              <w:lang w:val="en-US" w:eastAsia="zh-CN"/>
            </w:rPr>
            <w:t>一、本年度的主要生产指标计划</w:t>
          </w:r>
          <w:r>
            <w:tab/>
          </w:r>
          <w:r>
            <w:fldChar w:fldCharType="begin"/>
          </w:r>
          <w:r>
            <w:instrText xml:space="preserve"> PAGEREF _Toc32063 \h </w:instrText>
          </w:r>
          <w:r>
            <w:fldChar w:fldCharType="separate"/>
          </w:r>
          <w:r>
            <w:t>5</w:t>
          </w:r>
          <w:r>
            <w:fldChar w:fldCharType="end"/>
          </w:r>
          <w:r>
            <w:rPr>
              <w:rFonts w:hint="default" w:ascii="Times New Roman" w:hAnsi="Times New Roman" w:eastAsia="宋体" w:cs="Times New Roman"/>
              <w:color w:val="auto"/>
            </w:rPr>
            <w:fldChar w:fldCharType="end"/>
          </w:r>
        </w:p>
        <w:p>
          <w:pPr>
            <w:pStyle w:val="7"/>
            <w:keepNext w:val="0"/>
            <w:keepLines w:val="0"/>
            <w:pageBreakBefore w:val="0"/>
            <w:widowControl/>
            <w:tabs>
              <w:tab w:val="right" w:leader="dot" w:pos="8306"/>
            </w:tabs>
            <w:kinsoku/>
            <w:wordWrap/>
            <w:overflowPunct/>
            <w:topLinePunct w:val="0"/>
            <w:autoSpaceDE/>
            <w:autoSpaceDN/>
            <w:bidi w:val="0"/>
            <w:adjustRightInd w:val="0"/>
            <w:snapToGrid w:val="0"/>
            <w:spacing w:line="432" w:lineRule="auto"/>
            <w:ind w:firstLine="240" w:firstLineChars="100"/>
            <w:textAlignment w:val="auto"/>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_Toc733 </w:instrText>
          </w:r>
          <w:r>
            <w:rPr>
              <w:rFonts w:hint="default" w:ascii="Times New Roman" w:hAnsi="Times New Roman" w:eastAsia="宋体" w:cs="Times New Roman"/>
            </w:rPr>
            <w:fldChar w:fldCharType="separate"/>
          </w:r>
          <w:r>
            <w:rPr>
              <w:rFonts w:hint="default" w:ascii="Times New Roman" w:hAnsi="Times New Roman" w:eastAsia="宋体" w:cs="Times New Roman"/>
              <w:bCs/>
              <w:szCs w:val="28"/>
              <w:lang w:val="en-US" w:eastAsia="zh-CN"/>
            </w:rPr>
            <w:t>二</w:t>
          </w:r>
          <w:r>
            <w:rPr>
              <w:rFonts w:hint="eastAsia" w:ascii="Times New Roman" w:hAnsi="Times New Roman" w:eastAsia="宋体" w:cs="Times New Roman"/>
              <w:bCs/>
              <w:szCs w:val="28"/>
              <w:lang w:val="en-US" w:eastAsia="zh-CN"/>
            </w:rPr>
            <w:t>、</w:t>
          </w:r>
          <w:r>
            <w:rPr>
              <w:rFonts w:hint="default" w:ascii="Times New Roman" w:hAnsi="Times New Roman" w:eastAsia="宋体" w:cs="Times New Roman"/>
              <w:bCs/>
              <w:szCs w:val="28"/>
              <w:lang w:val="en-US" w:eastAsia="zh-CN"/>
            </w:rPr>
            <w:t>开采范围</w:t>
          </w:r>
          <w:r>
            <w:tab/>
          </w:r>
          <w:r>
            <w:fldChar w:fldCharType="begin"/>
          </w:r>
          <w:r>
            <w:instrText xml:space="preserve"> PAGEREF _Toc733 \h </w:instrText>
          </w:r>
          <w:r>
            <w:fldChar w:fldCharType="separate"/>
          </w:r>
          <w:r>
            <w:t>5</w:t>
          </w:r>
          <w:r>
            <w:fldChar w:fldCharType="end"/>
          </w:r>
          <w:r>
            <w:rPr>
              <w:rFonts w:hint="default" w:ascii="Times New Roman" w:hAnsi="Times New Roman" w:eastAsia="宋体" w:cs="Times New Roman"/>
              <w:color w:val="auto"/>
            </w:rPr>
            <w:fldChar w:fldCharType="end"/>
          </w:r>
        </w:p>
        <w:p>
          <w:pPr>
            <w:pStyle w:val="6"/>
            <w:keepNext w:val="0"/>
            <w:keepLines w:val="0"/>
            <w:pageBreakBefore w:val="0"/>
            <w:widowControl/>
            <w:tabs>
              <w:tab w:val="right" w:leader="dot" w:pos="8306"/>
            </w:tabs>
            <w:kinsoku/>
            <w:wordWrap/>
            <w:overflowPunct/>
            <w:topLinePunct w:val="0"/>
            <w:autoSpaceDE/>
            <w:autoSpaceDN/>
            <w:bidi w:val="0"/>
            <w:adjustRightInd w:val="0"/>
            <w:snapToGrid w:val="0"/>
            <w:spacing w:line="432" w:lineRule="auto"/>
            <w:textAlignment w:val="auto"/>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_Toc14353 </w:instrText>
          </w:r>
          <w:r>
            <w:rPr>
              <w:rFonts w:hint="default" w:ascii="Times New Roman" w:hAnsi="Times New Roman" w:eastAsia="宋体" w:cs="Times New Roman"/>
            </w:rPr>
            <w:fldChar w:fldCharType="separate"/>
          </w:r>
          <w:r>
            <w:rPr>
              <w:rFonts w:hint="eastAsia" w:ascii="Times New Roman" w:hAnsi="Times New Roman" w:eastAsia="宋体" w:cs="Times New Roman"/>
              <w:bCs/>
              <w:szCs w:val="32"/>
              <w:lang w:val="en-US" w:eastAsia="zh-CN"/>
            </w:rPr>
            <w:t xml:space="preserve">第四章 </w:t>
          </w:r>
          <w:r>
            <w:rPr>
              <w:rFonts w:hint="default" w:ascii="Times New Roman" w:hAnsi="Times New Roman" w:eastAsia="宋体" w:cs="Times New Roman"/>
              <w:bCs/>
              <w:szCs w:val="32"/>
              <w:lang w:val="en-US" w:eastAsia="zh-CN"/>
            </w:rPr>
            <w:t>矿山地质环境问题</w:t>
          </w:r>
          <w:r>
            <w:tab/>
          </w:r>
          <w:r>
            <w:fldChar w:fldCharType="begin"/>
          </w:r>
          <w:r>
            <w:instrText xml:space="preserve"> PAGEREF _Toc14353 \h </w:instrText>
          </w:r>
          <w:r>
            <w:fldChar w:fldCharType="separate"/>
          </w:r>
          <w:r>
            <w:t>6</w:t>
          </w:r>
          <w:r>
            <w:fldChar w:fldCharType="end"/>
          </w:r>
          <w:r>
            <w:rPr>
              <w:rFonts w:hint="default" w:ascii="Times New Roman" w:hAnsi="Times New Roman" w:eastAsia="宋体" w:cs="Times New Roman"/>
              <w:color w:val="auto"/>
            </w:rPr>
            <w:fldChar w:fldCharType="end"/>
          </w:r>
        </w:p>
        <w:p>
          <w:pPr>
            <w:pStyle w:val="7"/>
            <w:keepNext w:val="0"/>
            <w:keepLines w:val="0"/>
            <w:pageBreakBefore w:val="0"/>
            <w:widowControl/>
            <w:tabs>
              <w:tab w:val="right" w:leader="dot" w:pos="8306"/>
            </w:tabs>
            <w:kinsoku/>
            <w:wordWrap/>
            <w:overflowPunct/>
            <w:topLinePunct w:val="0"/>
            <w:autoSpaceDE/>
            <w:autoSpaceDN/>
            <w:bidi w:val="0"/>
            <w:adjustRightInd w:val="0"/>
            <w:snapToGrid w:val="0"/>
            <w:spacing w:line="432" w:lineRule="auto"/>
            <w:ind w:firstLine="240" w:firstLineChars="100"/>
            <w:textAlignment w:val="auto"/>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_Toc10938 </w:instrText>
          </w:r>
          <w:r>
            <w:rPr>
              <w:rFonts w:hint="default" w:ascii="Times New Roman" w:hAnsi="Times New Roman" w:eastAsia="宋体" w:cs="Times New Roman"/>
            </w:rPr>
            <w:fldChar w:fldCharType="separate"/>
          </w:r>
          <w:r>
            <w:rPr>
              <w:rFonts w:hint="eastAsia" w:eastAsia="宋体" w:cs="Times New Roman"/>
              <w:bCs/>
              <w:szCs w:val="28"/>
              <w:lang w:val="en-US" w:eastAsia="zh-CN"/>
            </w:rPr>
            <w:t>一、</w:t>
          </w:r>
          <w:r>
            <w:rPr>
              <w:rFonts w:hint="default" w:ascii="Times New Roman" w:hAnsi="Times New Roman" w:eastAsia="宋体" w:cs="Times New Roman"/>
              <w:bCs/>
              <w:szCs w:val="28"/>
              <w:lang w:val="en-US" w:eastAsia="zh-CN"/>
            </w:rPr>
            <w:t>矿山地质环境问题现状</w:t>
          </w:r>
          <w:r>
            <w:tab/>
          </w:r>
          <w:r>
            <w:fldChar w:fldCharType="begin"/>
          </w:r>
          <w:r>
            <w:instrText xml:space="preserve"> PAGEREF _Toc10938 \h </w:instrText>
          </w:r>
          <w:r>
            <w:fldChar w:fldCharType="separate"/>
          </w:r>
          <w:r>
            <w:t>6</w:t>
          </w:r>
          <w:r>
            <w:fldChar w:fldCharType="end"/>
          </w:r>
          <w:r>
            <w:rPr>
              <w:rFonts w:hint="default" w:ascii="Times New Roman" w:hAnsi="Times New Roman" w:eastAsia="宋体" w:cs="Times New Roman"/>
              <w:color w:val="auto"/>
            </w:rPr>
            <w:fldChar w:fldCharType="end"/>
          </w:r>
        </w:p>
        <w:p>
          <w:pPr>
            <w:pStyle w:val="7"/>
            <w:keepNext w:val="0"/>
            <w:keepLines w:val="0"/>
            <w:pageBreakBefore w:val="0"/>
            <w:widowControl/>
            <w:tabs>
              <w:tab w:val="right" w:leader="dot" w:pos="8306"/>
            </w:tabs>
            <w:kinsoku/>
            <w:wordWrap/>
            <w:overflowPunct/>
            <w:topLinePunct w:val="0"/>
            <w:autoSpaceDE/>
            <w:autoSpaceDN/>
            <w:bidi w:val="0"/>
            <w:adjustRightInd w:val="0"/>
            <w:snapToGrid w:val="0"/>
            <w:spacing w:line="432" w:lineRule="auto"/>
            <w:ind w:firstLine="240" w:firstLineChars="100"/>
            <w:textAlignment w:val="auto"/>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_Toc11937 </w:instrText>
          </w:r>
          <w:r>
            <w:rPr>
              <w:rFonts w:hint="default" w:ascii="Times New Roman" w:hAnsi="Times New Roman" w:eastAsia="宋体" w:cs="Times New Roman"/>
            </w:rPr>
            <w:fldChar w:fldCharType="separate"/>
          </w:r>
          <w:r>
            <w:rPr>
              <w:rFonts w:hint="eastAsia" w:eastAsia="宋体" w:cs="Times New Roman"/>
              <w:bCs/>
              <w:szCs w:val="28"/>
              <w:lang w:val="en-US" w:eastAsia="zh-CN"/>
            </w:rPr>
            <w:t>二、</w:t>
          </w:r>
          <w:r>
            <w:rPr>
              <w:rFonts w:hint="default" w:ascii="Times New Roman" w:hAnsi="Times New Roman" w:eastAsia="宋体" w:cs="Times New Roman"/>
              <w:bCs/>
              <w:szCs w:val="28"/>
              <w:lang w:val="en-US" w:eastAsia="zh-CN"/>
            </w:rPr>
            <w:t>矿山地质环境问题预测</w:t>
          </w:r>
          <w:r>
            <w:tab/>
          </w:r>
          <w:r>
            <w:fldChar w:fldCharType="begin"/>
          </w:r>
          <w:r>
            <w:instrText xml:space="preserve"> PAGEREF _Toc11937 \h </w:instrText>
          </w:r>
          <w:r>
            <w:fldChar w:fldCharType="separate"/>
          </w:r>
          <w:r>
            <w:t>10</w:t>
          </w:r>
          <w:r>
            <w:fldChar w:fldCharType="end"/>
          </w:r>
          <w:r>
            <w:rPr>
              <w:rFonts w:hint="default" w:ascii="Times New Roman" w:hAnsi="Times New Roman" w:eastAsia="宋体" w:cs="Times New Roman"/>
              <w:color w:val="auto"/>
            </w:rPr>
            <w:fldChar w:fldCharType="end"/>
          </w:r>
        </w:p>
        <w:p>
          <w:pPr>
            <w:pStyle w:val="6"/>
            <w:keepNext w:val="0"/>
            <w:keepLines w:val="0"/>
            <w:pageBreakBefore w:val="0"/>
            <w:widowControl/>
            <w:tabs>
              <w:tab w:val="right" w:leader="dot" w:pos="8306"/>
            </w:tabs>
            <w:kinsoku/>
            <w:wordWrap/>
            <w:overflowPunct/>
            <w:topLinePunct w:val="0"/>
            <w:autoSpaceDE/>
            <w:autoSpaceDN/>
            <w:bidi w:val="0"/>
            <w:adjustRightInd w:val="0"/>
            <w:snapToGrid w:val="0"/>
            <w:spacing w:line="432" w:lineRule="auto"/>
            <w:textAlignment w:val="auto"/>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_Toc5944 </w:instrText>
          </w:r>
          <w:r>
            <w:rPr>
              <w:rFonts w:hint="default" w:ascii="Times New Roman" w:hAnsi="Times New Roman" w:eastAsia="宋体" w:cs="Times New Roman"/>
            </w:rPr>
            <w:fldChar w:fldCharType="separate"/>
          </w:r>
          <w:r>
            <w:rPr>
              <w:rFonts w:hint="default" w:ascii="Times New Roman" w:hAnsi="Times New Roman" w:eastAsia="宋体" w:cs="Times New Roman"/>
              <w:bCs/>
              <w:szCs w:val="32"/>
              <w:lang w:val="en-US" w:eastAsia="zh-CN"/>
            </w:rPr>
            <w:t>第五章  矿山地质环境防治工程</w:t>
          </w:r>
          <w:r>
            <w:tab/>
          </w:r>
          <w:r>
            <w:fldChar w:fldCharType="begin"/>
          </w:r>
          <w:r>
            <w:instrText xml:space="preserve"> PAGEREF _Toc5944 \h </w:instrText>
          </w:r>
          <w:r>
            <w:fldChar w:fldCharType="separate"/>
          </w:r>
          <w:r>
            <w:t>11</w:t>
          </w:r>
          <w:r>
            <w:fldChar w:fldCharType="end"/>
          </w:r>
          <w:r>
            <w:rPr>
              <w:rFonts w:hint="default" w:ascii="Times New Roman" w:hAnsi="Times New Roman" w:eastAsia="宋体" w:cs="Times New Roman"/>
              <w:color w:val="auto"/>
            </w:rPr>
            <w:fldChar w:fldCharType="end"/>
          </w:r>
        </w:p>
        <w:p>
          <w:pPr>
            <w:pStyle w:val="7"/>
            <w:keepNext w:val="0"/>
            <w:keepLines w:val="0"/>
            <w:pageBreakBefore w:val="0"/>
            <w:widowControl/>
            <w:tabs>
              <w:tab w:val="right" w:leader="dot" w:pos="8306"/>
            </w:tabs>
            <w:kinsoku/>
            <w:wordWrap/>
            <w:overflowPunct/>
            <w:topLinePunct w:val="0"/>
            <w:autoSpaceDE/>
            <w:autoSpaceDN/>
            <w:bidi w:val="0"/>
            <w:adjustRightInd w:val="0"/>
            <w:snapToGrid w:val="0"/>
            <w:spacing w:line="432" w:lineRule="auto"/>
            <w:ind w:firstLine="240" w:firstLineChars="100"/>
            <w:textAlignment w:val="auto"/>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_Toc10431 </w:instrText>
          </w:r>
          <w:r>
            <w:rPr>
              <w:rFonts w:hint="default" w:ascii="Times New Roman" w:hAnsi="Times New Roman" w:eastAsia="宋体" w:cs="Times New Roman"/>
            </w:rPr>
            <w:fldChar w:fldCharType="separate"/>
          </w:r>
          <w:r>
            <w:rPr>
              <w:rFonts w:hint="default" w:ascii="Times New Roman" w:hAnsi="Times New Roman" w:eastAsia="宋体" w:cs="Times New Roman"/>
              <w:bCs/>
              <w:szCs w:val="28"/>
              <w:lang w:val="en-US" w:eastAsia="zh-CN"/>
            </w:rPr>
            <w:t>一、矿山地质环境治理区的确定</w:t>
          </w:r>
          <w:r>
            <w:tab/>
          </w:r>
          <w:r>
            <w:fldChar w:fldCharType="begin"/>
          </w:r>
          <w:r>
            <w:instrText xml:space="preserve"> PAGEREF _Toc10431 \h </w:instrText>
          </w:r>
          <w:r>
            <w:fldChar w:fldCharType="separate"/>
          </w:r>
          <w:r>
            <w:t>11</w:t>
          </w:r>
          <w:r>
            <w:fldChar w:fldCharType="end"/>
          </w:r>
          <w:r>
            <w:rPr>
              <w:rFonts w:hint="default" w:ascii="Times New Roman" w:hAnsi="Times New Roman" w:eastAsia="宋体" w:cs="Times New Roman"/>
              <w:color w:val="auto"/>
            </w:rPr>
            <w:fldChar w:fldCharType="end"/>
          </w:r>
        </w:p>
        <w:p>
          <w:pPr>
            <w:pStyle w:val="7"/>
            <w:keepNext w:val="0"/>
            <w:keepLines w:val="0"/>
            <w:pageBreakBefore w:val="0"/>
            <w:widowControl/>
            <w:tabs>
              <w:tab w:val="right" w:leader="dot" w:pos="8306"/>
            </w:tabs>
            <w:kinsoku/>
            <w:wordWrap/>
            <w:overflowPunct/>
            <w:topLinePunct w:val="0"/>
            <w:autoSpaceDE/>
            <w:autoSpaceDN/>
            <w:bidi w:val="0"/>
            <w:adjustRightInd w:val="0"/>
            <w:snapToGrid w:val="0"/>
            <w:spacing w:line="432" w:lineRule="auto"/>
            <w:ind w:firstLine="240" w:firstLineChars="100"/>
            <w:textAlignment w:val="auto"/>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_Toc22969 </w:instrText>
          </w:r>
          <w:r>
            <w:rPr>
              <w:rFonts w:hint="default" w:ascii="Times New Roman" w:hAnsi="Times New Roman" w:eastAsia="宋体" w:cs="Times New Roman"/>
            </w:rPr>
            <w:fldChar w:fldCharType="separate"/>
          </w:r>
          <w:r>
            <w:rPr>
              <w:rFonts w:hint="default" w:ascii="Times New Roman" w:hAnsi="Times New Roman" w:eastAsia="宋体" w:cs="Times New Roman"/>
              <w:bCs/>
              <w:szCs w:val="28"/>
              <w:lang w:val="en-US" w:eastAsia="zh-CN"/>
            </w:rPr>
            <w:t>二、矿山地质环境治理工程</w:t>
          </w:r>
          <w:r>
            <w:tab/>
          </w:r>
          <w:r>
            <w:fldChar w:fldCharType="begin"/>
          </w:r>
          <w:r>
            <w:instrText xml:space="preserve"> PAGEREF _Toc22969 \h </w:instrText>
          </w:r>
          <w:r>
            <w:fldChar w:fldCharType="separate"/>
          </w:r>
          <w:r>
            <w:t>11</w:t>
          </w:r>
          <w:r>
            <w:fldChar w:fldCharType="end"/>
          </w:r>
          <w:r>
            <w:rPr>
              <w:rFonts w:hint="default" w:ascii="Times New Roman" w:hAnsi="Times New Roman" w:eastAsia="宋体" w:cs="Times New Roman"/>
              <w:color w:val="auto"/>
            </w:rPr>
            <w:fldChar w:fldCharType="end"/>
          </w:r>
        </w:p>
        <w:p>
          <w:pPr>
            <w:pStyle w:val="7"/>
            <w:keepNext w:val="0"/>
            <w:keepLines w:val="0"/>
            <w:pageBreakBefore w:val="0"/>
            <w:widowControl/>
            <w:tabs>
              <w:tab w:val="right" w:leader="dot" w:pos="8306"/>
            </w:tabs>
            <w:kinsoku/>
            <w:wordWrap/>
            <w:overflowPunct/>
            <w:topLinePunct w:val="0"/>
            <w:autoSpaceDE/>
            <w:autoSpaceDN/>
            <w:bidi w:val="0"/>
            <w:adjustRightInd w:val="0"/>
            <w:snapToGrid w:val="0"/>
            <w:spacing w:line="432" w:lineRule="auto"/>
            <w:ind w:firstLine="240" w:firstLineChars="100"/>
            <w:textAlignment w:val="auto"/>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_Toc32718 </w:instrText>
          </w:r>
          <w:r>
            <w:rPr>
              <w:rFonts w:hint="default" w:ascii="Times New Roman" w:hAnsi="Times New Roman" w:eastAsia="宋体" w:cs="Times New Roman"/>
            </w:rPr>
            <w:fldChar w:fldCharType="separate"/>
          </w:r>
          <w:r>
            <w:rPr>
              <w:rFonts w:hint="eastAsia" w:ascii="Times New Roman" w:hAnsi="Times New Roman" w:eastAsia="宋体" w:cs="Times New Roman"/>
              <w:bCs/>
              <w:szCs w:val="28"/>
              <w:lang w:val="en-US" w:eastAsia="zh-CN"/>
            </w:rPr>
            <w:t>三、</w:t>
          </w:r>
          <w:r>
            <w:rPr>
              <w:rFonts w:hint="default" w:ascii="Times New Roman" w:hAnsi="Times New Roman" w:eastAsia="宋体" w:cs="Times New Roman"/>
              <w:bCs/>
              <w:szCs w:val="28"/>
              <w:lang w:val="en-US" w:eastAsia="zh-CN"/>
            </w:rPr>
            <w:t>矿山地质环境监测工程</w:t>
          </w:r>
          <w:r>
            <w:tab/>
          </w:r>
          <w:r>
            <w:fldChar w:fldCharType="begin"/>
          </w:r>
          <w:r>
            <w:instrText xml:space="preserve"> PAGEREF _Toc32718 \h </w:instrText>
          </w:r>
          <w:r>
            <w:fldChar w:fldCharType="separate"/>
          </w:r>
          <w:r>
            <w:t>11</w:t>
          </w:r>
          <w:r>
            <w:fldChar w:fldCharType="end"/>
          </w:r>
          <w:r>
            <w:rPr>
              <w:rFonts w:hint="default" w:ascii="Times New Roman" w:hAnsi="Times New Roman" w:eastAsia="宋体" w:cs="Times New Roman"/>
              <w:color w:val="auto"/>
            </w:rPr>
            <w:fldChar w:fldCharType="end"/>
          </w:r>
        </w:p>
        <w:p>
          <w:pPr>
            <w:pStyle w:val="6"/>
            <w:keepNext w:val="0"/>
            <w:keepLines w:val="0"/>
            <w:pageBreakBefore w:val="0"/>
            <w:widowControl/>
            <w:tabs>
              <w:tab w:val="right" w:leader="dot" w:pos="8306"/>
            </w:tabs>
            <w:kinsoku/>
            <w:wordWrap/>
            <w:overflowPunct/>
            <w:topLinePunct w:val="0"/>
            <w:autoSpaceDE/>
            <w:autoSpaceDN/>
            <w:bidi w:val="0"/>
            <w:adjustRightInd w:val="0"/>
            <w:snapToGrid w:val="0"/>
            <w:spacing w:line="432" w:lineRule="auto"/>
            <w:textAlignment w:val="auto"/>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_Toc25969 </w:instrText>
          </w:r>
          <w:r>
            <w:rPr>
              <w:rFonts w:hint="default" w:ascii="Times New Roman" w:hAnsi="Times New Roman" w:eastAsia="宋体" w:cs="Times New Roman"/>
            </w:rPr>
            <w:fldChar w:fldCharType="separate"/>
          </w:r>
          <w:r>
            <w:rPr>
              <w:rFonts w:hint="default" w:ascii="Times New Roman" w:hAnsi="Times New Roman" w:eastAsia="宋体" w:cs="Times New Roman"/>
              <w:bCs/>
              <w:szCs w:val="32"/>
              <w:lang w:val="en-US" w:eastAsia="zh-CN"/>
            </w:rPr>
            <w:t>第六章  经费估算</w:t>
          </w:r>
          <w:r>
            <w:tab/>
          </w:r>
          <w:r>
            <w:fldChar w:fldCharType="begin"/>
          </w:r>
          <w:r>
            <w:instrText xml:space="preserve"> PAGEREF _Toc25969 \h </w:instrText>
          </w:r>
          <w:r>
            <w:fldChar w:fldCharType="separate"/>
          </w:r>
          <w:r>
            <w:t>13</w:t>
          </w:r>
          <w:r>
            <w:fldChar w:fldCharType="end"/>
          </w:r>
          <w:r>
            <w:rPr>
              <w:rFonts w:hint="default" w:ascii="Times New Roman" w:hAnsi="Times New Roman" w:eastAsia="宋体" w:cs="Times New Roman"/>
              <w:color w:val="auto"/>
            </w:rPr>
            <w:fldChar w:fldCharType="end"/>
          </w:r>
        </w:p>
        <w:p>
          <w:pPr>
            <w:pStyle w:val="7"/>
            <w:keepNext w:val="0"/>
            <w:keepLines w:val="0"/>
            <w:pageBreakBefore w:val="0"/>
            <w:widowControl/>
            <w:tabs>
              <w:tab w:val="right" w:leader="dot" w:pos="8306"/>
            </w:tabs>
            <w:kinsoku/>
            <w:wordWrap/>
            <w:overflowPunct/>
            <w:topLinePunct w:val="0"/>
            <w:autoSpaceDE/>
            <w:autoSpaceDN/>
            <w:bidi w:val="0"/>
            <w:adjustRightInd w:val="0"/>
            <w:snapToGrid w:val="0"/>
            <w:spacing w:line="432" w:lineRule="auto"/>
            <w:ind w:firstLine="240" w:firstLineChars="100"/>
            <w:textAlignment w:val="auto"/>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_Toc25612 </w:instrText>
          </w:r>
          <w:r>
            <w:rPr>
              <w:rFonts w:hint="default" w:ascii="Times New Roman" w:hAnsi="Times New Roman" w:eastAsia="宋体" w:cs="Times New Roman"/>
            </w:rPr>
            <w:fldChar w:fldCharType="separate"/>
          </w:r>
          <w:r>
            <w:rPr>
              <w:rFonts w:hint="eastAsia" w:ascii="Times New Roman" w:hAnsi="Times New Roman" w:eastAsia="宋体" w:cs="Times New Roman"/>
              <w:bCs/>
              <w:szCs w:val="28"/>
              <w:lang w:val="en-US" w:eastAsia="zh-CN"/>
            </w:rPr>
            <w:t>一、</w:t>
          </w:r>
          <w:r>
            <w:rPr>
              <w:rFonts w:hint="default" w:ascii="Times New Roman" w:hAnsi="Times New Roman" w:eastAsia="宋体" w:cs="Times New Roman"/>
              <w:bCs/>
              <w:szCs w:val="28"/>
              <w:lang w:val="en-US" w:eastAsia="zh-CN"/>
            </w:rPr>
            <w:t>估算说明</w:t>
          </w:r>
          <w:r>
            <w:tab/>
          </w:r>
          <w:r>
            <w:fldChar w:fldCharType="begin"/>
          </w:r>
          <w:r>
            <w:instrText xml:space="preserve"> PAGEREF _Toc25612 \h </w:instrText>
          </w:r>
          <w:r>
            <w:fldChar w:fldCharType="separate"/>
          </w:r>
          <w:r>
            <w:t>13</w:t>
          </w:r>
          <w:r>
            <w:fldChar w:fldCharType="end"/>
          </w:r>
          <w:r>
            <w:rPr>
              <w:rFonts w:hint="default" w:ascii="Times New Roman" w:hAnsi="Times New Roman" w:eastAsia="宋体" w:cs="Times New Roman"/>
              <w:color w:val="auto"/>
            </w:rPr>
            <w:fldChar w:fldCharType="end"/>
          </w:r>
        </w:p>
        <w:p>
          <w:pPr>
            <w:pStyle w:val="7"/>
            <w:keepNext w:val="0"/>
            <w:keepLines w:val="0"/>
            <w:pageBreakBefore w:val="0"/>
            <w:widowControl/>
            <w:tabs>
              <w:tab w:val="right" w:leader="dot" w:pos="8306"/>
            </w:tabs>
            <w:kinsoku/>
            <w:wordWrap/>
            <w:overflowPunct/>
            <w:topLinePunct w:val="0"/>
            <w:autoSpaceDE/>
            <w:autoSpaceDN/>
            <w:bidi w:val="0"/>
            <w:adjustRightInd w:val="0"/>
            <w:snapToGrid w:val="0"/>
            <w:spacing w:line="432" w:lineRule="auto"/>
            <w:ind w:firstLine="240" w:firstLineChars="100"/>
            <w:textAlignment w:val="auto"/>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_Toc29728 </w:instrText>
          </w:r>
          <w:r>
            <w:rPr>
              <w:rFonts w:hint="default" w:ascii="Times New Roman" w:hAnsi="Times New Roman" w:eastAsia="宋体" w:cs="Times New Roman"/>
            </w:rPr>
            <w:fldChar w:fldCharType="separate"/>
          </w:r>
          <w:r>
            <w:rPr>
              <w:rFonts w:hint="default" w:ascii="Times New Roman" w:hAnsi="Times New Roman" w:eastAsia="宋体" w:cs="Times New Roman"/>
              <w:bCs/>
              <w:szCs w:val="28"/>
              <w:lang w:val="zh-CN" w:eastAsia="zh-CN"/>
            </w:rPr>
            <w:t>二</w:t>
          </w:r>
          <w:r>
            <w:rPr>
              <w:rFonts w:hint="eastAsia" w:ascii="Times New Roman" w:hAnsi="Times New Roman" w:eastAsia="宋体" w:cs="Times New Roman"/>
              <w:bCs/>
              <w:szCs w:val="28"/>
              <w:lang w:val="zh-CN" w:eastAsia="zh-CN"/>
            </w:rPr>
            <w:t>、</w:t>
          </w:r>
          <w:r>
            <w:rPr>
              <w:rFonts w:hint="default" w:ascii="Times New Roman" w:hAnsi="Times New Roman" w:eastAsia="宋体" w:cs="Times New Roman"/>
              <w:bCs/>
              <w:szCs w:val="28"/>
              <w:lang w:val="zh-CN" w:eastAsia="zh-CN"/>
            </w:rPr>
            <w:t>主要工程量</w:t>
          </w:r>
          <w:r>
            <w:tab/>
          </w:r>
          <w:r>
            <w:fldChar w:fldCharType="begin"/>
          </w:r>
          <w:r>
            <w:instrText xml:space="preserve"> PAGEREF _Toc29728 \h </w:instrText>
          </w:r>
          <w:r>
            <w:fldChar w:fldCharType="separate"/>
          </w:r>
          <w:r>
            <w:t>18</w:t>
          </w:r>
          <w:r>
            <w:fldChar w:fldCharType="end"/>
          </w:r>
          <w:r>
            <w:rPr>
              <w:rFonts w:hint="default" w:ascii="Times New Roman" w:hAnsi="Times New Roman" w:eastAsia="宋体" w:cs="Times New Roman"/>
              <w:color w:val="auto"/>
            </w:rPr>
            <w:fldChar w:fldCharType="end"/>
          </w:r>
        </w:p>
        <w:p>
          <w:pPr>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end"/>
          </w:r>
        </w:p>
      </w:sdtContent>
    </w:sdt>
    <w:p>
      <w:pPr>
        <w:pStyle w:val="19"/>
        <w:keepNext w:val="0"/>
        <w:keepLines w:val="0"/>
        <w:pageBreakBefore w:val="0"/>
        <w:widowControl/>
        <w:tabs>
          <w:tab w:val="right" w:leader="dot" w:pos="8306"/>
        </w:tabs>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color w:val="auto"/>
          <w:sz w:val="24"/>
          <w:szCs w:val="24"/>
          <w:lang w:val="en-US" w:eastAsia="zh-CN"/>
        </w:rPr>
      </w:pPr>
      <w:r>
        <w:rPr>
          <w:rFonts w:hint="default" w:ascii="Times New Roman" w:hAnsi="Times New Roman" w:eastAsia="宋体" w:cs="Times New Roman"/>
          <w:b/>
          <w:bCs/>
          <w:color w:val="auto"/>
          <w:kern w:val="2"/>
          <w:sz w:val="36"/>
          <w:szCs w:val="36"/>
          <w:lang w:val="en-US" w:eastAsia="zh-CN" w:bidi="ar-SA"/>
        </w:rPr>
        <w:t>附</w:t>
      </w:r>
      <w:r>
        <w:rPr>
          <w:rFonts w:hint="eastAsia" w:ascii="Times New Roman" w:hAnsi="Times New Roman" w:eastAsia="宋体" w:cs="Times New Roman"/>
          <w:b/>
          <w:bCs/>
          <w:color w:val="auto"/>
          <w:kern w:val="2"/>
          <w:sz w:val="36"/>
          <w:szCs w:val="36"/>
          <w:lang w:val="en-US" w:eastAsia="zh-CN" w:bidi="ar-SA"/>
        </w:rPr>
        <w:t xml:space="preserve"> </w:t>
      </w:r>
      <w:r>
        <w:rPr>
          <w:rFonts w:hint="default" w:ascii="Times New Roman" w:hAnsi="Times New Roman" w:eastAsia="宋体" w:cs="Times New Roman"/>
          <w:b/>
          <w:bCs/>
          <w:color w:val="auto"/>
          <w:kern w:val="2"/>
          <w:sz w:val="36"/>
          <w:szCs w:val="36"/>
          <w:lang w:val="en-US" w:eastAsia="zh-CN" w:bidi="ar-SA"/>
        </w:rPr>
        <w:t>图</w:t>
      </w:r>
      <w:r>
        <w:rPr>
          <w:rFonts w:hint="eastAsia" w:ascii="Times New Roman" w:hAnsi="Times New Roman" w:eastAsia="宋体" w:cs="Times New Roman"/>
          <w:b/>
          <w:bCs/>
          <w:color w:val="auto"/>
          <w:kern w:val="2"/>
          <w:sz w:val="36"/>
          <w:szCs w:val="36"/>
          <w:lang w:val="en-US" w:eastAsia="zh-CN" w:bidi="ar-SA"/>
        </w:rPr>
        <w:t xml:space="preserve"> 目 录</w:t>
      </w:r>
    </w:p>
    <w:p>
      <w:pPr>
        <w:pStyle w:val="19"/>
        <w:keepNext w:val="0"/>
        <w:keepLines w:val="0"/>
        <w:pageBreakBefore w:val="0"/>
        <w:widowControl/>
        <w:tabs>
          <w:tab w:val="right" w:leader="dot" w:pos="8306"/>
        </w:tabs>
        <w:kinsoku/>
        <w:wordWrap/>
        <w:overflowPunct/>
        <w:topLinePunct w:val="0"/>
        <w:autoSpaceDE/>
        <w:autoSpaceDN/>
        <w:bidi w:val="0"/>
        <w:adjustRightInd/>
        <w:snapToGrid/>
        <w:spacing w:line="480" w:lineRule="auto"/>
        <w:ind w:firstLine="480" w:firstLineChars="200"/>
        <w:textAlignment w:val="auto"/>
        <w:rPr>
          <w:rFonts w:hint="default" w:ascii="Times New Roman" w:hAnsi="Times New Roman" w:cs="Times New Roman"/>
          <w:bCs/>
          <w:color w:val="auto"/>
          <w:kern w:val="2"/>
          <w:sz w:val="24"/>
          <w:szCs w:val="24"/>
          <w:lang w:val="en-US" w:eastAsia="zh-CN"/>
        </w:rPr>
      </w:pPr>
      <w:r>
        <w:rPr>
          <w:rFonts w:hint="default" w:ascii="Times New Roman" w:hAnsi="Times New Roman" w:eastAsia="宋体" w:cs="Times New Roman"/>
          <w:bCs/>
          <w:color w:val="auto"/>
          <w:kern w:val="2"/>
          <w:sz w:val="24"/>
          <w:szCs w:val="24"/>
          <w:lang w:val="en-US" w:eastAsia="zh-CN"/>
        </w:rPr>
        <w:t>赤峰市松山区徐家窝铺冰洲石矿</w:t>
      </w:r>
      <w:r>
        <w:rPr>
          <w:rFonts w:hint="eastAsia" w:cs="Times New Roman"/>
          <w:bCs/>
          <w:color w:val="auto"/>
          <w:kern w:val="2"/>
          <w:sz w:val="24"/>
          <w:szCs w:val="24"/>
          <w:lang w:val="en-US" w:eastAsia="zh-CN"/>
        </w:rPr>
        <w:t>2024</w:t>
      </w:r>
      <w:r>
        <w:rPr>
          <w:rFonts w:hint="default" w:ascii="Times New Roman" w:hAnsi="Times New Roman" w:cs="Times New Roman"/>
          <w:bCs/>
          <w:color w:val="auto"/>
          <w:kern w:val="2"/>
          <w:sz w:val="24"/>
          <w:szCs w:val="24"/>
          <w:lang w:val="en-US" w:eastAsia="zh-CN"/>
        </w:rPr>
        <w:t>年度矿山地质环境治理工程部署图</w:t>
      </w:r>
    </w:p>
    <w:p>
      <w:pPr>
        <w:keepNext w:val="0"/>
        <w:keepLines w:val="0"/>
        <w:pageBreakBefore w:val="0"/>
        <w:widowControl/>
        <w:tabs>
          <w:tab w:val="left" w:pos="4699"/>
        </w:tabs>
        <w:kinsoku/>
        <w:wordWrap/>
        <w:overflowPunct/>
        <w:topLinePunct w:val="0"/>
        <w:autoSpaceDE/>
        <w:autoSpaceDN/>
        <w:bidi w:val="0"/>
        <w:spacing w:line="480" w:lineRule="auto"/>
        <w:ind w:firstLine="6720" w:firstLineChars="2800"/>
        <w:jc w:val="left"/>
        <w:textAlignment w:val="auto"/>
        <w:rPr>
          <w:rFonts w:hint="default" w:ascii="Times New Roman" w:hAnsi="Times New Roman" w:eastAsia="宋体" w:cs="Times New Roman"/>
          <w:color w:val="auto"/>
          <w:kern w:val="2"/>
          <w:sz w:val="21"/>
          <w:szCs w:val="21"/>
          <w:lang w:val="en-US" w:eastAsia="zh-CN" w:bidi="ar-SA"/>
        </w:rPr>
        <w:sectPr>
          <w:pgSz w:w="11906" w:h="16838"/>
          <w:pgMar w:top="1440" w:right="1800" w:bottom="1440" w:left="1800" w:header="851" w:footer="992" w:gutter="0"/>
          <w:pgNumType w:fmt="decimal" w:start="1"/>
          <w:cols w:space="425" w:num="1"/>
          <w:docGrid w:type="lines" w:linePitch="312" w:charSpace="0"/>
        </w:sectPr>
      </w:pPr>
      <w:r>
        <w:rPr>
          <w:rFonts w:hint="default" w:ascii="Times New Roman" w:hAnsi="Times New Roman" w:cs="Times New Roman"/>
          <w:bCs/>
          <w:color w:val="auto"/>
          <w:kern w:val="2"/>
          <w:sz w:val="24"/>
          <w:szCs w:val="24"/>
          <w:lang w:val="en-US" w:eastAsia="zh-CN"/>
        </w:rPr>
        <w:t>比例尺1:2000</w:t>
      </w:r>
    </w:p>
    <w:p>
      <w:pPr>
        <w:keepNext w:val="0"/>
        <w:keepLines w:val="0"/>
        <w:pageBreakBefore w:val="0"/>
        <w:widowControl/>
        <w:numPr>
          <w:ilvl w:val="0"/>
          <w:numId w:val="1"/>
        </w:numPr>
        <w:kinsoku/>
        <w:wordWrap/>
        <w:overflowPunct/>
        <w:topLinePunct w:val="0"/>
        <w:autoSpaceDE/>
        <w:autoSpaceDN/>
        <w:bidi w:val="0"/>
        <w:adjustRightInd w:val="0"/>
        <w:snapToGrid w:val="0"/>
        <w:spacing w:line="360" w:lineRule="auto"/>
        <w:textAlignment w:val="auto"/>
        <w:outlineLvl w:val="0"/>
        <w:rPr>
          <w:rFonts w:hint="default" w:ascii="Times New Roman" w:hAnsi="Times New Roman" w:eastAsia="宋体" w:cs="Times New Roman"/>
          <w:b/>
          <w:bCs/>
          <w:color w:val="auto"/>
          <w:sz w:val="36"/>
          <w:szCs w:val="36"/>
          <w:lang w:val="en-US" w:eastAsia="zh-CN"/>
        </w:rPr>
      </w:pPr>
      <w:r>
        <w:rPr>
          <w:rFonts w:hint="default" w:ascii="Times New Roman" w:hAnsi="Times New Roman" w:eastAsia="宋体" w:cs="Times New Roman"/>
          <w:b/>
          <w:bCs/>
          <w:color w:val="auto"/>
          <w:sz w:val="32"/>
          <w:szCs w:val="32"/>
          <w:lang w:val="en-US" w:eastAsia="zh-CN"/>
        </w:rPr>
        <w:t xml:space="preserve"> </w:t>
      </w:r>
      <w:bookmarkStart w:id="0" w:name="_Toc20745"/>
      <w:bookmarkStart w:id="1" w:name="_Toc31071"/>
      <w:bookmarkStart w:id="2" w:name="_Toc1062"/>
      <w:bookmarkStart w:id="3" w:name="_Toc5538"/>
      <w:r>
        <w:rPr>
          <w:rFonts w:hint="default" w:ascii="Times New Roman" w:hAnsi="Times New Roman" w:eastAsia="宋体" w:cs="Times New Roman"/>
          <w:b/>
          <w:bCs/>
          <w:color w:val="auto"/>
          <w:sz w:val="32"/>
          <w:szCs w:val="32"/>
          <w:lang w:val="en-US" w:eastAsia="zh-CN"/>
        </w:rPr>
        <w:t>矿山基本情况</w:t>
      </w:r>
      <w:bookmarkEnd w:id="0"/>
      <w:bookmarkEnd w:id="1"/>
      <w:bookmarkEnd w:id="2"/>
      <w:bookmarkEnd w:id="3"/>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b w:val="0"/>
          <w:bCs w:val="0"/>
          <w:color w:val="auto"/>
          <w:sz w:val="32"/>
          <w:szCs w:val="32"/>
          <w:lang w:val="en-US" w:eastAsia="zh-CN"/>
        </w:rPr>
      </w:pPr>
      <w:r>
        <w:rPr>
          <w:rFonts w:hint="default" w:ascii="Times New Roman" w:hAnsi="Times New Roman" w:eastAsia="宋体" w:cs="Times New Roman"/>
          <w:b/>
          <w:bCs/>
          <w:color w:val="auto"/>
          <w:sz w:val="30"/>
          <w:szCs w:val="30"/>
          <w:lang w:val="en-US" w:eastAsia="zh-CN"/>
        </w:rPr>
        <w:t>矿山基本情况表</w:t>
      </w:r>
    </w:p>
    <w:tbl>
      <w:tblPr>
        <w:tblStyle w:val="10"/>
        <w:tblW w:w="87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215"/>
        <w:gridCol w:w="1890"/>
        <w:gridCol w:w="374"/>
        <w:gridCol w:w="451"/>
        <w:gridCol w:w="870"/>
        <w:gridCol w:w="2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724" w:type="dxa"/>
            <w:gridSpan w:val="7"/>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矿山企业基本信息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4" w:type="dxa"/>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矿山名称</w:t>
            </w:r>
          </w:p>
        </w:tc>
        <w:tc>
          <w:tcPr>
            <w:tcW w:w="7020" w:type="dxa"/>
            <w:gridSpan w:val="6"/>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元宝山区美丽河镇大金沟村建筑用石矿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4" w:type="dxa"/>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采矿权人</w:t>
            </w:r>
          </w:p>
        </w:tc>
        <w:tc>
          <w:tcPr>
            <w:tcW w:w="3479" w:type="dxa"/>
            <w:gridSpan w:val="3"/>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赤峰</w:t>
            </w:r>
            <w:r>
              <w:rPr>
                <w:rFonts w:hint="eastAsia" w:eastAsia="宋体" w:cs="Times New Roman"/>
                <w:b w:val="0"/>
                <w:bCs w:val="0"/>
                <w:color w:val="auto"/>
                <w:sz w:val="21"/>
                <w:szCs w:val="21"/>
                <w:highlight w:val="none"/>
                <w:vertAlign w:val="baseline"/>
                <w:lang w:val="en-US" w:eastAsia="zh-CN"/>
              </w:rPr>
              <w:t>比尔商贸</w:t>
            </w:r>
            <w:r>
              <w:rPr>
                <w:rFonts w:hint="eastAsia" w:ascii="Times New Roman" w:hAnsi="Times New Roman" w:eastAsia="宋体" w:cs="Times New Roman"/>
                <w:b w:val="0"/>
                <w:bCs w:val="0"/>
                <w:color w:val="auto"/>
                <w:sz w:val="21"/>
                <w:szCs w:val="21"/>
                <w:highlight w:val="none"/>
                <w:vertAlign w:val="baseline"/>
                <w:lang w:val="en-US" w:eastAsia="zh-CN"/>
              </w:rPr>
              <w:t>有限公司</w:t>
            </w:r>
          </w:p>
        </w:tc>
        <w:tc>
          <w:tcPr>
            <w:tcW w:w="1321" w:type="dxa"/>
            <w:gridSpan w:val="2"/>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法人代表</w:t>
            </w:r>
          </w:p>
        </w:tc>
        <w:tc>
          <w:tcPr>
            <w:tcW w:w="2220" w:type="dxa"/>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eastAsia="宋体" w:cs="Times New Roman"/>
                <w:b w:val="0"/>
                <w:bCs w:val="0"/>
                <w:color w:val="auto"/>
                <w:sz w:val="21"/>
                <w:szCs w:val="21"/>
                <w:highlight w:val="none"/>
                <w:vertAlign w:val="baseline"/>
                <w:lang w:val="en-US" w:eastAsia="zh-CN"/>
              </w:rPr>
              <w:t>刘晓华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4" w:type="dxa"/>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采矿许可证号</w:t>
            </w:r>
          </w:p>
        </w:tc>
        <w:tc>
          <w:tcPr>
            <w:tcW w:w="3479" w:type="dxa"/>
            <w:gridSpan w:val="3"/>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C150400</w:t>
            </w:r>
            <w:r>
              <w:rPr>
                <w:rFonts w:hint="eastAsia" w:eastAsia="宋体" w:cs="Times New Roman"/>
                <w:b w:val="0"/>
                <w:bCs w:val="0"/>
                <w:color w:val="auto"/>
                <w:sz w:val="21"/>
                <w:szCs w:val="21"/>
                <w:vertAlign w:val="baseline"/>
                <w:lang w:val="en-US" w:eastAsia="zh-CN"/>
              </w:rPr>
              <w:t>2019037130147683</w:t>
            </w:r>
          </w:p>
        </w:tc>
        <w:tc>
          <w:tcPr>
            <w:tcW w:w="1321" w:type="dxa"/>
            <w:gridSpan w:val="2"/>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发证机关</w:t>
            </w:r>
          </w:p>
        </w:tc>
        <w:tc>
          <w:tcPr>
            <w:tcW w:w="2220" w:type="dxa"/>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赤峰市自然资源局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4" w:type="dxa"/>
            <w:shd w:val="clear" w:color="auto" w:fill="auto"/>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有效期限</w:t>
            </w:r>
          </w:p>
        </w:tc>
        <w:tc>
          <w:tcPr>
            <w:tcW w:w="3479" w:type="dxa"/>
            <w:gridSpan w:val="3"/>
            <w:shd w:val="clear" w:color="auto" w:fill="auto"/>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201</w:t>
            </w:r>
            <w:r>
              <w:rPr>
                <w:rFonts w:hint="eastAsia" w:eastAsia="宋体" w:cs="Times New Roman"/>
                <w:b w:val="0"/>
                <w:bCs w:val="0"/>
                <w:color w:val="auto"/>
                <w:sz w:val="21"/>
                <w:szCs w:val="21"/>
                <w:vertAlign w:val="baseline"/>
                <w:lang w:val="en-US" w:eastAsia="zh-CN"/>
              </w:rPr>
              <w:t>9</w:t>
            </w:r>
            <w:r>
              <w:rPr>
                <w:rFonts w:hint="default" w:ascii="Times New Roman" w:hAnsi="Times New Roman" w:eastAsia="宋体" w:cs="Times New Roman"/>
                <w:b w:val="0"/>
                <w:bCs w:val="0"/>
                <w:color w:val="auto"/>
                <w:sz w:val="21"/>
                <w:szCs w:val="21"/>
                <w:vertAlign w:val="baseline"/>
                <w:lang w:val="en-US" w:eastAsia="zh-CN"/>
              </w:rPr>
              <w:t>年</w:t>
            </w:r>
            <w:r>
              <w:rPr>
                <w:rFonts w:hint="eastAsia" w:eastAsia="宋体" w:cs="Times New Roman"/>
                <w:b w:val="0"/>
                <w:bCs w:val="0"/>
                <w:color w:val="auto"/>
                <w:sz w:val="21"/>
                <w:szCs w:val="21"/>
                <w:vertAlign w:val="baseline"/>
                <w:lang w:val="en-US" w:eastAsia="zh-CN"/>
              </w:rPr>
              <w:t>3</w:t>
            </w:r>
            <w:r>
              <w:rPr>
                <w:rFonts w:hint="default" w:ascii="Times New Roman" w:hAnsi="Times New Roman" w:eastAsia="宋体" w:cs="Times New Roman"/>
                <w:b w:val="0"/>
                <w:bCs w:val="0"/>
                <w:color w:val="auto"/>
                <w:sz w:val="21"/>
                <w:szCs w:val="21"/>
                <w:vertAlign w:val="baseline"/>
                <w:lang w:val="en-US" w:eastAsia="zh-CN"/>
              </w:rPr>
              <w:t>月</w:t>
            </w:r>
            <w:r>
              <w:rPr>
                <w:rFonts w:hint="eastAsia" w:eastAsia="宋体" w:cs="Times New Roman"/>
                <w:b w:val="0"/>
                <w:bCs w:val="0"/>
                <w:color w:val="auto"/>
                <w:sz w:val="21"/>
                <w:szCs w:val="21"/>
                <w:vertAlign w:val="baseline"/>
                <w:lang w:val="en-US" w:eastAsia="zh-CN"/>
              </w:rPr>
              <w:t>21</w:t>
            </w:r>
            <w:r>
              <w:rPr>
                <w:rFonts w:hint="default" w:ascii="Times New Roman" w:hAnsi="Times New Roman" w:eastAsia="宋体" w:cs="Times New Roman"/>
                <w:b w:val="0"/>
                <w:bCs w:val="0"/>
                <w:color w:val="auto"/>
                <w:sz w:val="21"/>
                <w:szCs w:val="21"/>
                <w:vertAlign w:val="baseline"/>
                <w:lang w:val="en-US" w:eastAsia="zh-CN"/>
              </w:rPr>
              <w:t>日-202</w:t>
            </w:r>
            <w:r>
              <w:rPr>
                <w:rFonts w:hint="eastAsia" w:eastAsia="宋体" w:cs="Times New Roman"/>
                <w:b w:val="0"/>
                <w:bCs w:val="0"/>
                <w:color w:val="auto"/>
                <w:sz w:val="21"/>
                <w:szCs w:val="21"/>
                <w:vertAlign w:val="baseline"/>
                <w:lang w:val="en-US" w:eastAsia="zh-CN"/>
              </w:rPr>
              <w:t>2</w:t>
            </w:r>
            <w:r>
              <w:rPr>
                <w:rFonts w:hint="default" w:ascii="Times New Roman" w:hAnsi="Times New Roman" w:eastAsia="宋体" w:cs="Times New Roman"/>
                <w:b w:val="0"/>
                <w:bCs w:val="0"/>
                <w:color w:val="auto"/>
                <w:sz w:val="21"/>
                <w:szCs w:val="21"/>
                <w:vertAlign w:val="baseline"/>
                <w:lang w:val="en-US" w:eastAsia="zh-CN"/>
              </w:rPr>
              <w:t>年</w:t>
            </w:r>
            <w:r>
              <w:rPr>
                <w:rFonts w:hint="eastAsia" w:eastAsia="宋体" w:cs="Times New Roman"/>
                <w:b w:val="0"/>
                <w:bCs w:val="0"/>
                <w:color w:val="auto"/>
                <w:sz w:val="21"/>
                <w:szCs w:val="21"/>
                <w:vertAlign w:val="baseline"/>
                <w:lang w:val="en-US" w:eastAsia="zh-CN"/>
              </w:rPr>
              <w:t>3</w:t>
            </w:r>
            <w:r>
              <w:rPr>
                <w:rFonts w:hint="default" w:ascii="Times New Roman" w:hAnsi="Times New Roman" w:eastAsia="宋体" w:cs="Times New Roman"/>
                <w:b w:val="0"/>
                <w:bCs w:val="0"/>
                <w:color w:val="auto"/>
                <w:sz w:val="21"/>
                <w:szCs w:val="21"/>
                <w:vertAlign w:val="baseline"/>
                <w:lang w:val="en-US" w:eastAsia="zh-CN"/>
              </w:rPr>
              <w:t>月</w:t>
            </w:r>
            <w:r>
              <w:rPr>
                <w:rFonts w:hint="eastAsia" w:eastAsia="宋体" w:cs="Times New Roman"/>
                <w:b w:val="0"/>
                <w:bCs w:val="0"/>
                <w:color w:val="auto"/>
                <w:sz w:val="21"/>
                <w:szCs w:val="21"/>
                <w:vertAlign w:val="baseline"/>
                <w:lang w:val="en-US" w:eastAsia="zh-CN"/>
              </w:rPr>
              <w:t>21</w:t>
            </w:r>
            <w:r>
              <w:rPr>
                <w:rFonts w:hint="default" w:ascii="Times New Roman" w:hAnsi="Times New Roman" w:eastAsia="宋体" w:cs="Times New Roman"/>
                <w:b w:val="0"/>
                <w:bCs w:val="0"/>
                <w:color w:val="auto"/>
                <w:sz w:val="21"/>
                <w:szCs w:val="21"/>
                <w:vertAlign w:val="baseline"/>
                <w:lang w:val="en-US" w:eastAsia="zh-CN"/>
              </w:rPr>
              <w:t>日</w:t>
            </w:r>
          </w:p>
        </w:tc>
        <w:tc>
          <w:tcPr>
            <w:tcW w:w="1321" w:type="dxa"/>
            <w:gridSpan w:val="2"/>
            <w:shd w:val="clear" w:color="auto" w:fill="auto"/>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发证日期</w:t>
            </w:r>
          </w:p>
        </w:tc>
        <w:tc>
          <w:tcPr>
            <w:tcW w:w="2220" w:type="dxa"/>
            <w:shd w:val="clear" w:color="auto" w:fill="auto"/>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20</w:t>
            </w:r>
            <w:r>
              <w:rPr>
                <w:rFonts w:hint="eastAsia" w:eastAsia="宋体" w:cs="Times New Roman"/>
                <w:b w:val="0"/>
                <w:bCs w:val="0"/>
                <w:color w:val="auto"/>
                <w:sz w:val="21"/>
                <w:szCs w:val="21"/>
                <w:vertAlign w:val="baseline"/>
                <w:lang w:val="en-US" w:eastAsia="zh-CN"/>
              </w:rPr>
              <w:t>23</w:t>
            </w:r>
            <w:r>
              <w:rPr>
                <w:rFonts w:hint="default" w:ascii="Times New Roman" w:hAnsi="Times New Roman" w:eastAsia="宋体" w:cs="Times New Roman"/>
                <w:b w:val="0"/>
                <w:bCs w:val="0"/>
                <w:color w:val="auto"/>
                <w:sz w:val="21"/>
                <w:szCs w:val="21"/>
                <w:vertAlign w:val="baseline"/>
                <w:lang w:val="en-US" w:eastAsia="zh-CN"/>
              </w:rPr>
              <w:t>年</w:t>
            </w:r>
            <w:r>
              <w:rPr>
                <w:rFonts w:hint="eastAsia" w:eastAsia="宋体" w:cs="Times New Roman"/>
                <w:b w:val="0"/>
                <w:bCs w:val="0"/>
                <w:color w:val="auto"/>
                <w:sz w:val="21"/>
                <w:szCs w:val="21"/>
                <w:vertAlign w:val="baseline"/>
                <w:lang w:val="en-US" w:eastAsia="zh-CN"/>
              </w:rPr>
              <w:t>5</w:t>
            </w:r>
            <w:r>
              <w:rPr>
                <w:rFonts w:hint="default" w:ascii="Times New Roman" w:hAnsi="Times New Roman" w:eastAsia="宋体" w:cs="Times New Roman"/>
                <w:b w:val="0"/>
                <w:bCs w:val="0"/>
                <w:color w:val="auto"/>
                <w:sz w:val="21"/>
                <w:szCs w:val="21"/>
                <w:vertAlign w:val="baseline"/>
                <w:lang w:val="en-US" w:eastAsia="zh-CN"/>
              </w:rPr>
              <w:t>月</w:t>
            </w:r>
            <w:r>
              <w:rPr>
                <w:rFonts w:hint="eastAsia" w:eastAsia="宋体" w:cs="Times New Roman"/>
                <w:b w:val="0"/>
                <w:bCs w:val="0"/>
                <w:color w:val="auto"/>
                <w:sz w:val="21"/>
                <w:szCs w:val="21"/>
                <w:vertAlign w:val="baseline"/>
                <w:lang w:val="en-US" w:eastAsia="zh-CN"/>
              </w:rPr>
              <w:t>17</w:t>
            </w:r>
            <w:r>
              <w:rPr>
                <w:rFonts w:hint="default" w:ascii="Times New Roman" w:hAnsi="Times New Roman" w:eastAsia="宋体" w:cs="Times New Roman"/>
                <w:b w:val="0"/>
                <w:bCs w:val="0"/>
                <w:color w:val="auto"/>
                <w:sz w:val="21"/>
                <w:szCs w:val="21"/>
                <w:vertAlign w:val="baseline"/>
                <w:lang w:val="en-US" w:eastAsia="zh-CN"/>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4" w:type="dxa"/>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矿区地址</w:t>
            </w:r>
          </w:p>
        </w:tc>
        <w:tc>
          <w:tcPr>
            <w:tcW w:w="7020" w:type="dxa"/>
            <w:gridSpan w:val="6"/>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元宝山区美丽河镇大金沟村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4" w:type="dxa"/>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经纬度坐标</w:t>
            </w:r>
          </w:p>
        </w:tc>
        <w:tc>
          <w:tcPr>
            <w:tcW w:w="7020" w:type="dxa"/>
            <w:gridSpan w:val="6"/>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color w:val="auto"/>
                <w:sz w:val="21"/>
                <w:szCs w:val="21"/>
              </w:rPr>
              <w:t>东经</w:t>
            </w:r>
            <w:r>
              <w:rPr>
                <w:rFonts w:hint="default" w:ascii="Times New Roman" w:hAnsi="Times New Roman" w:eastAsia="宋体" w:cs="Times New Roman"/>
                <w:color w:val="auto"/>
                <w:sz w:val="21"/>
                <w:szCs w:val="21"/>
                <w:lang w:eastAsia="zh-CN"/>
              </w:rPr>
              <w:t>：</w:t>
            </w:r>
            <w:r>
              <w:rPr>
                <w:rFonts w:hint="eastAsia" w:eastAsia="宋体" w:cs="Times New Roman"/>
                <w:color w:val="auto"/>
                <w:sz w:val="21"/>
                <w:szCs w:val="21"/>
                <w:lang w:val="en-US" w:eastAsia="zh-CN"/>
              </w:rPr>
              <w:t>119</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0</w:t>
            </w:r>
            <w:r>
              <w:rPr>
                <w:rFonts w:hint="eastAsia" w:eastAsia="宋体" w:cs="Times New Roman"/>
                <w:color w:val="auto"/>
                <w:sz w:val="21"/>
                <w:szCs w:val="21"/>
                <w:lang w:val="en-US" w:eastAsia="zh-CN"/>
              </w:rPr>
              <w:t>4</w:t>
            </w:r>
            <w:r>
              <w:rPr>
                <w:rFonts w:hint="default" w:ascii="Times New Roman" w:hAnsi="Times New Roman" w:eastAsia="宋体" w:cs="Times New Roman"/>
                <w:color w:val="auto"/>
                <w:sz w:val="21"/>
                <w:szCs w:val="21"/>
              </w:rPr>
              <w:t>′</w:t>
            </w:r>
            <w:r>
              <w:rPr>
                <w:rFonts w:hint="eastAsia" w:eastAsia="宋体" w:cs="Times New Roman"/>
                <w:color w:val="auto"/>
                <w:sz w:val="21"/>
                <w:szCs w:val="21"/>
                <w:lang w:val="en-US" w:eastAsia="zh-CN"/>
              </w:rPr>
              <w:t>48</w:t>
            </w:r>
            <w:r>
              <w:rPr>
                <w:rFonts w:hint="default" w:ascii="Times New Roman" w:hAnsi="Times New Roman" w:eastAsia="宋体" w:cs="Times New Roman"/>
                <w:color w:val="auto"/>
                <w:sz w:val="21"/>
                <w:szCs w:val="21"/>
              </w:rPr>
              <w:t>″～1</w:t>
            </w:r>
            <w:r>
              <w:rPr>
                <w:rFonts w:hint="eastAsia" w:eastAsia="宋体" w:cs="Times New Roman"/>
                <w:color w:val="auto"/>
                <w:sz w:val="21"/>
                <w:szCs w:val="21"/>
                <w:lang w:val="en-US" w:eastAsia="zh-CN"/>
              </w:rPr>
              <w:t>19</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0</w:t>
            </w:r>
            <w:r>
              <w:rPr>
                <w:rFonts w:hint="eastAsia" w:eastAsia="宋体" w:cs="Times New Roman"/>
                <w:color w:val="auto"/>
                <w:sz w:val="21"/>
                <w:szCs w:val="21"/>
                <w:lang w:val="en-US" w:eastAsia="zh-CN"/>
              </w:rPr>
              <w:t>4</w:t>
            </w:r>
            <w:r>
              <w:rPr>
                <w:rFonts w:hint="default" w:ascii="Times New Roman" w:hAnsi="Times New Roman" w:eastAsia="宋体" w:cs="Times New Roman"/>
                <w:color w:val="auto"/>
                <w:sz w:val="21"/>
                <w:szCs w:val="21"/>
              </w:rPr>
              <w:t>′</w:t>
            </w:r>
            <w:r>
              <w:rPr>
                <w:rFonts w:hint="eastAsia" w:eastAsia="宋体" w:cs="Times New Roman"/>
                <w:color w:val="auto"/>
                <w:sz w:val="21"/>
                <w:szCs w:val="21"/>
                <w:lang w:val="en-US" w:eastAsia="zh-CN"/>
              </w:rPr>
              <w:t>55</w:t>
            </w:r>
            <w:r>
              <w:rPr>
                <w:rFonts w:hint="default" w:ascii="Times New Roman" w:hAnsi="Times New Roman" w:eastAsia="宋体" w:cs="Times New Roman"/>
                <w:color w:val="auto"/>
                <w:sz w:val="21"/>
                <w:szCs w:val="21"/>
              </w:rPr>
              <w:t>″</w:t>
            </w:r>
            <w:r>
              <w:rPr>
                <w:rFonts w:hint="eastAsia" w:eastAsia="宋体" w:cs="Times New Roman"/>
                <w:color w:val="auto"/>
                <w:sz w:val="21"/>
                <w:szCs w:val="21"/>
                <w:lang w:eastAsia="zh-CN"/>
              </w:rPr>
              <w:t>，</w:t>
            </w:r>
            <w:r>
              <w:rPr>
                <w:rFonts w:hint="default" w:ascii="Times New Roman" w:hAnsi="Times New Roman" w:eastAsia="宋体" w:cs="Times New Roman"/>
                <w:color w:val="auto"/>
                <w:sz w:val="21"/>
                <w:szCs w:val="21"/>
              </w:rPr>
              <w:t>北纬：4</w:t>
            </w:r>
            <w:r>
              <w:rPr>
                <w:rFonts w:hint="eastAsia" w:eastAsia="宋体" w:cs="Times New Roman"/>
                <w:color w:val="auto"/>
                <w:sz w:val="21"/>
                <w:szCs w:val="21"/>
                <w:lang w:val="en-US" w:eastAsia="zh-CN"/>
              </w:rPr>
              <w:t>2</w:t>
            </w:r>
            <w:r>
              <w:rPr>
                <w:rFonts w:hint="default" w:ascii="Times New Roman" w:hAnsi="Times New Roman" w:eastAsia="宋体" w:cs="Times New Roman"/>
                <w:color w:val="auto"/>
                <w:sz w:val="21"/>
                <w:szCs w:val="21"/>
              </w:rPr>
              <w:t>°</w:t>
            </w:r>
            <w:r>
              <w:rPr>
                <w:rFonts w:hint="eastAsia" w:eastAsia="宋体" w:cs="Times New Roman"/>
                <w:color w:val="auto"/>
                <w:sz w:val="21"/>
                <w:szCs w:val="21"/>
                <w:lang w:val="en-US" w:eastAsia="zh-CN"/>
              </w:rPr>
              <w:t>02</w:t>
            </w:r>
            <w:r>
              <w:rPr>
                <w:rFonts w:hint="default" w:ascii="Times New Roman" w:hAnsi="Times New Roman" w:eastAsia="宋体" w:cs="Times New Roman"/>
                <w:color w:val="auto"/>
                <w:sz w:val="21"/>
                <w:szCs w:val="21"/>
              </w:rPr>
              <w:t>′</w:t>
            </w:r>
            <w:r>
              <w:rPr>
                <w:rFonts w:hint="eastAsia" w:eastAsia="宋体" w:cs="Times New Roman"/>
                <w:color w:val="auto"/>
                <w:sz w:val="21"/>
                <w:szCs w:val="21"/>
                <w:lang w:val="en-US" w:eastAsia="zh-CN"/>
              </w:rPr>
              <w:t>33</w:t>
            </w:r>
            <w:r>
              <w:rPr>
                <w:rFonts w:hint="default" w:ascii="Times New Roman" w:hAnsi="Times New Roman" w:eastAsia="宋体" w:cs="Times New Roman"/>
                <w:color w:val="auto"/>
                <w:sz w:val="21"/>
                <w:szCs w:val="21"/>
              </w:rPr>
              <w:t>″～4</w:t>
            </w:r>
            <w:r>
              <w:rPr>
                <w:rFonts w:hint="eastAsia" w:eastAsia="宋体" w:cs="Times New Roman"/>
                <w:color w:val="auto"/>
                <w:sz w:val="21"/>
                <w:szCs w:val="21"/>
                <w:lang w:val="en-US" w:eastAsia="zh-CN"/>
              </w:rPr>
              <w:t>2</w:t>
            </w:r>
            <w:r>
              <w:rPr>
                <w:rFonts w:hint="default" w:ascii="Times New Roman" w:hAnsi="Times New Roman" w:eastAsia="宋体" w:cs="Times New Roman"/>
                <w:color w:val="auto"/>
                <w:sz w:val="21"/>
                <w:szCs w:val="21"/>
              </w:rPr>
              <w:t>°</w:t>
            </w:r>
            <w:r>
              <w:rPr>
                <w:rFonts w:hint="eastAsia" w:eastAsia="宋体" w:cs="Times New Roman"/>
                <w:color w:val="auto"/>
                <w:sz w:val="21"/>
                <w:szCs w:val="21"/>
                <w:lang w:val="en-US" w:eastAsia="zh-CN"/>
              </w:rPr>
              <w:t>02</w:t>
            </w:r>
            <w:r>
              <w:rPr>
                <w:rFonts w:hint="default" w:ascii="Times New Roman" w:hAnsi="Times New Roman" w:eastAsia="宋体" w:cs="Times New Roman"/>
                <w:color w:val="auto"/>
                <w:sz w:val="21"/>
                <w:szCs w:val="21"/>
              </w:rPr>
              <w:t>′</w:t>
            </w:r>
            <w:r>
              <w:rPr>
                <w:rFonts w:hint="eastAsia" w:eastAsia="宋体" w:cs="Times New Roman"/>
                <w:color w:val="auto"/>
                <w:sz w:val="21"/>
                <w:szCs w:val="21"/>
                <w:lang w:val="en-US" w:eastAsia="zh-CN"/>
              </w:rPr>
              <w:t>38</w:t>
            </w:r>
            <w:r>
              <w:rPr>
                <w:rFonts w:hint="default" w:ascii="Times New Roman" w:hAnsi="Times New Roman" w:eastAsia="宋体"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4" w:type="dxa"/>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经济类型</w:t>
            </w:r>
          </w:p>
        </w:tc>
        <w:tc>
          <w:tcPr>
            <w:tcW w:w="3105" w:type="dxa"/>
            <w:gridSpan w:val="2"/>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color w:val="auto"/>
                <w:sz w:val="21"/>
                <w:szCs w:val="21"/>
              </w:rPr>
              <w:t>有限责任公司</w:t>
            </w:r>
          </w:p>
        </w:tc>
        <w:tc>
          <w:tcPr>
            <w:tcW w:w="1695" w:type="dxa"/>
            <w:gridSpan w:val="3"/>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生产规模</w:t>
            </w:r>
          </w:p>
        </w:tc>
        <w:tc>
          <w:tcPr>
            <w:tcW w:w="2220" w:type="dxa"/>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中</w:t>
            </w:r>
            <w:r>
              <w:rPr>
                <w:rFonts w:hint="default" w:ascii="Times New Roman" w:hAnsi="Times New Roman" w:eastAsia="宋体" w:cs="Times New Roman"/>
                <w:b w:val="0"/>
                <w:bCs w:val="0"/>
                <w:color w:val="auto"/>
                <w:sz w:val="21"/>
                <w:szCs w:val="21"/>
                <w:vertAlign w:val="baseline"/>
                <w:lang w:val="en-US" w:eastAsia="zh-CN"/>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4" w:type="dxa"/>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开采矿种</w:t>
            </w:r>
          </w:p>
        </w:tc>
        <w:tc>
          <w:tcPr>
            <w:tcW w:w="3105" w:type="dxa"/>
            <w:gridSpan w:val="2"/>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建筑用玄武岩</w:t>
            </w:r>
          </w:p>
        </w:tc>
        <w:tc>
          <w:tcPr>
            <w:tcW w:w="1695" w:type="dxa"/>
            <w:gridSpan w:val="3"/>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采矿方式</w:t>
            </w:r>
          </w:p>
        </w:tc>
        <w:tc>
          <w:tcPr>
            <w:tcW w:w="2220" w:type="dxa"/>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color w:val="auto"/>
                <w:sz w:val="21"/>
                <w:szCs w:val="21"/>
              </w:rPr>
              <w:t>露天开采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4" w:type="dxa"/>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矿区面积</w:t>
            </w:r>
          </w:p>
        </w:tc>
        <w:tc>
          <w:tcPr>
            <w:tcW w:w="3105" w:type="dxa"/>
            <w:gridSpan w:val="2"/>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color w:val="auto"/>
                <w:sz w:val="21"/>
                <w:szCs w:val="21"/>
              </w:rPr>
              <w:t>0.</w:t>
            </w:r>
            <w:r>
              <w:rPr>
                <w:rFonts w:hint="eastAsia" w:eastAsia="宋体" w:cs="Times New Roman"/>
                <w:color w:val="auto"/>
                <w:sz w:val="21"/>
                <w:szCs w:val="21"/>
                <w:lang w:val="en-US" w:eastAsia="zh-CN"/>
              </w:rPr>
              <w:t>0114</w:t>
            </w:r>
            <w:r>
              <w:rPr>
                <w:rFonts w:hint="default" w:ascii="Times New Roman" w:hAnsi="Times New Roman" w:eastAsia="宋体" w:cs="Times New Roman"/>
                <w:color w:val="auto"/>
                <w:sz w:val="21"/>
                <w:szCs w:val="21"/>
              </w:rPr>
              <w:t>km</w:t>
            </w:r>
            <w:r>
              <w:rPr>
                <w:rFonts w:hint="default" w:ascii="Times New Roman" w:hAnsi="Times New Roman" w:eastAsia="宋体" w:cs="Times New Roman"/>
                <w:color w:val="auto"/>
                <w:sz w:val="21"/>
                <w:szCs w:val="21"/>
                <w:vertAlign w:val="superscript"/>
              </w:rPr>
              <w:t>2</w:t>
            </w:r>
          </w:p>
        </w:tc>
        <w:tc>
          <w:tcPr>
            <w:tcW w:w="1695" w:type="dxa"/>
            <w:gridSpan w:val="3"/>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生产现状</w:t>
            </w:r>
          </w:p>
        </w:tc>
        <w:tc>
          <w:tcPr>
            <w:tcW w:w="2220" w:type="dxa"/>
            <w:vAlign w:val="center"/>
          </w:tcPr>
          <w:p>
            <w:pPr>
              <w:widowControl w:val="0"/>
              <w:numPr>
                <w:ilvl w:val="0"/>
                <w:numId w:val="0"/>
              </w:numPr>
              <w:spacing w:line="240" w:lineRule="auto"/>
              <w:jc w:val="center"/>
              <w:rPr>
                <w:rFonts w:hint="default"/>
                <w:color w:val="auto"/>
                <w:lang w:val="en-US" w:eastAsia="zh-CN"/>
              </w:rPr>
            </w:pPr>
            <w:r>
              <w:rPr>
                <w:rFonts w:hint="eastAsia"/>
                <w:color w:val="auto"/>
                <w:lang w:val="en-US" w:eastAsia="zh-CN"/>
              </w:rPr>
              <w:t>停产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4" w:type="dxa"/>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建矿时间</w:t>
            </w:r>
          </w:p>
        </w:tc>
        <w:tc>
          <w:tcPr>
            <w:tcW w:w="3105" w:type="dxa"/>
            <w:gridSpan w:val="2"/>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20</w:t>
            </w:r>
            <w:r>
              <w:rPr>
                <w:rFonts w:hint="eastAsia" w:eastAsia="宋体" w:cs="Times New Roman"/>
                <w:b w:val="0"/>
                <w:bCs w:val="0"/>
                <w:color w:val="auto"/>
                <w:sz w:val="21"/>
                <w:szCs w:val="21"/>
                <w:vertAlign w:val="baseline"/>
                <w:lang w:val="en-US" w:eastAsia="zh-CN"/>
              </w:rPr>
              <w:t>16</w:t>
            </w:r>
            <w:r>
              <w:rPr>
                <w:rFonts w:hint="default" w:ascii="Times New Roman" w:hAnsi="Times New Roman" w:eastAsia="宋体" w:cs="Times New Roman"/>
                <w:b w:val="0"/>
                <w:bCs w:val="0"/>
                <w:color w:val="auto"/>
                <w:sz w:val="21"/>
                <w:szCs w:val="21"/>
                <w:vertAlign w:val="baseline"/>
                <w:lang w:val="en-US" w:eastAsia="zh-CN"/>
              </w:rPr>
              <w:t>年</w:t>
            </w:r>
            <w:r>
              <w:rPr>
                <w:rFonts w:hint="eastAsia" w:eastAsia="宋体" w:cs="Times New Roman"/>
                <w:b w:val="0"/>
                <w:bCs w:val="0"/>
                <w:color w:val="auto"/>
                <w:sz w:val="21"/>
                <w:szCs w:val="21"/>
                <w:vertAlign w:val="baseline"/>
                <w:lang w:val="en-US" w:eastAsia="zh-CN"/>
              </w:rPr>
              <w:t>3</w:t>
            </w:r>
            <w:r>
              <w:rPr>
                <w:rFonts w:hint="default" w:ascii="Times New Roman" w:hAnsi="Times New Roman" w:eastAsia="宋体" w:cs="Times New Roman"/>
                <w:b w:val="0"/>
                <w:bCs w:val="0"/>
                <w:color w:val="auto"/>
                <w:sz w:val="21"/>
                <w:szCs w:val="21"/>
                <w:vertAlign w:val="baseline"/>
                <w:lang w:val="en-US" w:eastAsia="zh-CN"/>
              </w:rPr>
              <w:t>月</w:t>
            </w:r>
          </w:p>
        </w:tc>
        <w:tc>
          <w:tcPr>
            <w:tcW w:w="1695" w:type="dxa"/>
            <w:gridSpan w:val="3"/>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设计生产能力</w:t>
            </w:r>
          </w:p>
        </w:tc>
        <w:tc>
          <w:tcPr>
            <w:tcW w:w="2220" w:type="dxa"/>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5</w:t>
            </w:r>
            <w:r>
              <w:rPr>
                <w:rFonts w:hint="default" w:ascii="Times New Roman" w:hAnsi="Times New Roman" w:eastAsia="宋体" w:cs="Times New Roman"/>
                <w:b w:val="0"/>
                <w:bCs w:val="0"/>
                <w:color w:val="auto"/>
                <w:sz w:val="21"/>
                <w:szCs w:val="21"/>
                <w:vertAlign w:val="baseline"/>
                <w:lang w:val="en-US" w:eastAsia="zh-CN"/>
              </w:rPr>
              <w:t>×10</w:t>
            </w:r>
            <w:r>
              <w:rPr>
                <w:rFonts w:hint="default" w:ascii="Times New Roman" w:hAnsi="Times New Roman" w:eastAsia="宋体" w:cs="Times New Roman"/>
                <w:b w:val="0"/>
                <w:bCs w:val="0"/>
                <w:color w:val="auto"/>
                <w:sz w:val="21"/>
                <w:szCs w:val="21"/>
                <w:vertAlign w:val="superscript"/>
                <w:lang w:val="en-US" w:eastAsia="zh-CN"/>
              </w:rPr>
              <w:t>4</w:t>
            </w:r>
            <w:r>
              <w:rPr>
                <w:rFonts w:hint="eastAsia" w:eastAsia="宋体" w:cs="Times New Roman"/>
                <w:b w:val="0"/>
                <w:bCs w:val="0"/>
                <w:color w:val="auto"/>
                <w:sz w:val="21"/>
                <w:szCs w:val="21"/>
                <w:vertAlign w:val="baseline"/>
                <w:lang w:val="en-US" w:eastAsia="zh-CN"/>
              </w:rPr>
              <w:t>m</w:t>
            </w:r>
            <w:r>
              <w:rPr>
                <w:rFonts w:hint="eastAsia" w:eastAsia="宋体" w:cs="Times New Roman"/>
                <w:b w:val="0"/>
                <w:bCs w:val="0"/>
                <w:color w:val="auto"/>
                <w:sz w:val="21"/>
                <w:szCs w:val="21"/>
                <w:vertAlign w:val="superscript"/>
                <w:lang w:val="en-US" w:eastAsia="zh-CN"/>
              </w:rPr>
              <w:t>3</w:t>
            </w:r>
            <w:r>
              <w:rPr>
                <w:rFonts w:hint="default" w:ascii="Times New Roman" w:hAnsi="Times New Roman" w:eastAsia="宋体" w:cs="Times New Roman"/>
                <w:b w:val="0"/>
                <w:bCs w:val="0"/>
                <w:color w:val="auto"/>
                <w:sz w:val="21"/>
                <w:szCs w:val="21"/>
                <w:vertAlign w:val="baseline"/>
                <w:lang w:val="en-US" w:eastAsia="zh-CN"/>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4" w:type="dxa"/>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设计服务年限</w:t>
            </w:r>
          </w:p>
        </w:tc>
        <w:tc>
          <w:tcPr>
            <w:tcW w:w="3105" w:type="dxa"/>
            <w:gridSpan w:val="2"/>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color w:val="auto"/>
                <w:sz w:val="21"/>
                <w:szCs w:val="21"/>
                <w:lang w:val="en-US" w:eastAsia="zh-CN"/>
              </w:rPr>
              <w:t>3.10</w:t>
            </w:r>
            <w:r>
              <w:rPr>
                <w:rFonts w:hint="default" w:ascii="Times New Roman" w:hAnsi="Times New Roman" w:eastAsia="宋体" w:cs="Times New Roman"/>
                <w:b w:val="0"/>
                <w:bCs w:val="0"/>
                <w:color w:val="auto"/>
                <w:sz w:val="21"/>
                <w:szCs w:val="21"/>
                <w:vertAlign w:val="baseline"/>
                <w:lang w:val="en-US" w:eastAsia="zh-CN"/>
              </w:rPr>
              <w:t>年</w:t>
            </w:r>
          </w:p>
        </w:tc>
        <w:tc>
          <w:tcPr>
            <w:tcW w:w="1695" w:type="dxa"/>
            <w:gridSpan w:val="3"/>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实际生产能力</w:t>
            </w:r>
          </w:p>
        </w:tc>
        <w:tc>
          <w:tcPr>
            <w:tcW w:w="2220" w:type="dxa"/>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5</w:t>
            </w:r>
            <w:r>
              <w:rPr>
                <w:rFonts w:hint="default" w:ascii="Times New Roman" w:hAnsi="Times New Roman" w:eastAsia="宋体" w:cs="Times New Roman"/>
                <w:b w:val="0"/>
                <w:bCs w:val="0"/>
                <w:color w:val="auto"/>
                <w:sz w:val="21"/>
                <w:szCs w:val="21"/>
                <w:vertAlign w:val="baseline"/>
                <w:lang w:val="en-US" w:eastAsia="zh-CN"/>
              </w:rPr>
              <w:t>×10</w:t>
            </w:r>
            <w:r>
              <w:rPr>
                <w:rFonts w:hint="default" w:ascii="Times New Roman" w:hAnsi="Times New Roman" w:eastAsia="宋体" w:cs="Times New Roman"/>
                <w:b w:val="0"/>
                <w:bCs w:val="0"/>
                <w:color w:val="auto"/>
                <w:sz w:val="21"/>
                <w:szCs w:val="21"/>
                <w:vertAlign w:val="superscript"/>
                <w:lang w:val="en-US" w:eastAsia="zh-CN"/>
              </w:rPr>
              <w:t>4</w:t>
            </w:r>
            <w:r>
              <w:rPr>
                <w:rFonts w:hint="eastAsia" w:eastAsia="宋体" w:cs="Times New Roman"/>
                <w:b w:val="0"/>
                <w:bCs w:val="0"/>
                <w:color w:val="auto"/>
                <w:sz w:val="21"/>
                <w:szCs w:val="21"/>
                <w:vertAlign w:val="baseline"/>
                <w:lang w:val="en-US" w:eastAsia="zh-CN"/>
              </w:rPr>
              <w:t>m</w:t>
            </w:r>
            <w:r>
              <w:rPr>
                <w:rFonts w:hint="eastAsia" w:eastAsia="宋体" w:cs="Times New Roman"/>
                <w:b w:val="0"/>
                <w:bCs w:val="0"/>
                <w:color w:val="auto"/>
                <w:sz w:val="21"/>
                <w:szCs w:val="21"/>
                <w:vertAlign w:val="superscript"/>
                <w:lang w:val="en-US" w:eastAsia="zh-CN"/>
              </w:rPr>
              <w:t>3</w:t>
            </w:r>
            <w:r>
              <w:rPr>
                <w:rFonts w:hint="default" w:ascii="Times New Roman" w:hAnsi="Times New Roman" w:eastAsia="宋体" w:cs="Times New Roman"/>
                <w:b w:val="0"/>
                <w:bCs w:val="0"/>
                <w:color w:val="auto"/>
                <w:sz w:val="21"/>
                <w:szCs w:val="21"/>
                <w:vertAlign w:val="baseline"/>
                <w:lang w:val="en-US" w:eastAsia="zh-CN"/>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4" w:type="dxa"/>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剩余服务年限</w:t>
            </w:r>
          </w:p>
        </w:tc>
        <w:tc>
          <w:tcPr>
            <w:tcW w:w="3105" w:type="dxa"/>
            <w:gridSpan w:val="2"/>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color w:val="auto"/>
                <w:sz w:val="21"/>
                <w:szCs w:val="21"/>
                <w:lang w:val="en-US" w:eastAsia="zh-CN"/>
              </w:rPr>
              <w:t>/</w:t>
            </w:r>
          </w:p>
        </w:tc>
        <w:tc>
          <w:tcPr>
            <w:tcW w:w="1695" w:type="dxa"/>
            <w:gridSpan w:val="3"/>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开采深度</w:t>
            </w:r>
          </w:p>
        </w:tc>
        <w:tc>
          <w:tcPr>
            <w:tcW w:w="2220" w:type="dxa"/>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color w:val="auto"/>
                <w:kern w:val="0"/>
                <w:sz w:val="21"/>
                <w:szCs w:val="21"/>
                <w:lang w:val="en-US" w:eastAsia="zh-CN"/>
              </w:rPr>
              <w:t>902</w:t>
            </w:r>
            <w:r>
              <w:rPr>
                <w:rFonts w:hint="default" w:ascii="Times New Roman" w:hAnsi="Times New Roman" w:eastAsia="宋体" w:cs="Times New Roman"/>
                <w:color w:val="auto"/>
                <w:kern w:val="0"/>
                <w:sz w:val="21"/>
                <w:szCs w:val="21"/>
              </w:rPr>
              <w:t>m至</w:t>
            </w:r>
            <w:r>
              <w:rPr>
                <w:rFonts w:hint="eastAsia" w:eastAsia="宋体" w:cs="Times New Roman"/>
                <w:color w:val="auto"/>
                <w:kern w:val="0"/>
                <w:sz w:val="21"/>
                <w:szCs w:val="21"/>
                <w:lang w:val="en-US" w:eastAsia="zh-CN"/>
              </w:rPr>
              <w:t>850</w:t>
            </w:r>
            <w:r>
              <w:rPr>
                <w:rFonts w:hint="default" w:ascii="Times New Roman" w:hAnsi="Times New Roman" w:eastAsia="宋体" w:cs="Times New Roman"/>
                <w:color w:val="auto"/>
                <w:kern w:val="0"/>
                <w:sz w:val="21"/>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4" w:type="dxa"/>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查明资源储量</w:t>
            </w:r>
          </w:p>
        </w:tc>
        <w:tc>
          <w:tcPr>
            <w:tcW w:w="3105" w:type="dxa"/>
            <w:gridSpan w:val="2"/>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color w:val="auto"/>
                <w:sz w:val="21"/>
                <w:szCs w:val="21"/>
                <w:lang w:val="en-US" w:eastAsia="zh-CN"/>
              </w:rPr>
              <w:t>15.5303×10</w:t>
            </w:r>
            <w:r>
              <w:rPr>
                <w:rFonts w:hint="eastAsia" w:eastAsia="宋体" w:cs="Times New Roman"/>
                <w:b w:val="0"/>
                <w:color w:val="auto"/>
                <w:sz w:val="21"/>
                <w:szCs w:val="21"/>
                <w:vertAlign w:val="superscript"/>
                <w:lang w:val="en-US" w:eastAsia="zh-CN"/>
              </w:rPr>
              <w:t>4</w:t>
            </w:r>
            <w:r>
              <w:rPr>
                <w:rFonts w:hint="eastAsia" w:eastAsia="宋体" w:cs="Times New Roman"/>
                <w:b w:val="0"/>
                <w:color w:val="auto"/>
                <w:sz w:val="21"/>
                <w:szCs w:val="21"/>
                <w:lang w:val="en-US" w:eastAsia="zh-CN"/>
              </w:rPr>
              <w:t>m</w:t>
            </w:r>
            <w:r>
              <w:rPr>
                <w:rFonts w:hint="eastAsia" w:eastAsia="宋体" w:cs="Times New Roman"/>
                <w:b w:val="0"/>
                <w:color w:val="auto"/>
                <w:sz w:val="21"/>
                <w:szCs w:val="21"/>
                <w:vertAlign w:val="superscript"/>
                <w:lang w:val="en-US" w:eastAsia="zh-CN"/>
              </w:rPr>
              <w:t>3</w:t>
            </w:r>
          </w:p>
        </w:tc>
        <w:tc>
          <w:tcPr>
            <w:tcW w:w="1695" w:type="dxa"/>
            <w:gridSpan w:val="3"/>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剩余资源储量</w:t>
            </w:r>
          </w:p>
        </w:tc>
        <w:tc>
          <w:tcPr>
            <w:tcW w:w="2220" w:type="dxa"/>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4" w:type="dxa"/>
            <w:vMerge w:val="restart"/>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矿区范围</w:t>
            </w:r>
          </w:p>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拐点坐标</w:t>
            </w:r>
          </w:p>
        </w:tc>
        <w:tc>
          <w:tcPr>
            <w:tcW w:w="7020" w:type="dxa"/>
            <w:gridSpan w:val="6"/>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2000国家大地坐标系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4" w:type="dxa"/>
            <w:vMerge w:val="continue"/>
            <w:vAlign w:val="center"/>
          </w:tcPr>
          <w:p>
            <w:pPr>
              <w:widowControl w:val="0"/>
              <w:spacing w:line="240" w:lineRule="auto"/>
              <w:jc w:val="center"/>
              <w:rPr>
                <w:rFonts w:hint="default" w:ascii="Times New Roman" w:hAnsi="Times New Roman" w:eastAsia="宋体" w:cs="Times New Roman"/>
                <w:color w:val="auto"/>
                <w:sz w:val="21"/>
                <w:szCs w:val="21"/>
              </w:rPr>
            </w:pPr>
          </w:p>
        </w:tc>
        <w:tc>
          <w:tcPr>
            <w:tcW w:w="1215" w:type="dxa"/>
            <w:vAlign w:val="center"/>
          </w:tcPr>
          <w:p>
            <w:pPr>
              <w:widowControl w:val="0"/>
              <w:numPr>
                <w:ilvl w:val="0"/>
                <w:numId w:val="0"/>
              </w:num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拐点编号</w:t>
            </w:r>
          </w:p>
        </w:tc>
        <w:tc>
          <w:tcPr>
            <w:tcW w:w="2715" w:type="dxa"/>
            <w:gridSpan w:val="3"/>
            <w:vAlign w:val="center"/>
          </w:tcPr>
          <w:p>
            <w:pPr>
              <w:widowControl w:val="0"/>
              <w:numPr>
                <w:ilvl w:val="0"/>
                <w:numId w:val="0"/>
              </w:num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X</w:t>
            </w:r>
          </w:p>
        </w:tc>
        <w:tc>
          <w:tcPr>
            <w:tcW w:w="3090" w:type="dxa"/>
            <w:gridSpan w:val="2"/>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4" w:type="dxa"/>
            <w:vMerge w:val="continue"/>
            <w:vAlign w:val="center"/>
          </w:tcPr>
          <w:p>
            <w:pPr>
              <w:widowControl w:val="0"/>
              <w:spacing w:line="240" w:lineRule="auto"/>
              <w:jc w:val="center"/>
              <w:rPr>
                <w:rFonts w:hint="default" w:ascii="Times New Roman" w:hAnsi="Times New Roman" w:eastAsia="宋体" w:cs="Times New Roman"/>
                <w:b w:val="0"/>
                <w:bCs w:val="0"/>
                <w:color w:val="auto"/>
                <w:sz w:val="21"/>
                <w:szCs w:val="21"/>
                <w:vertAlign w:val="baseline"/>
                <w:lang w:val="en-US" w:eastAsia="zh-CN"/>
              </w:rPr>
            </w:pPr>
          </w:p>
        </w:tc>
        <w:tc>
          <w:tcPr>
            <w:tcW w:w="1215" w:type="dxa"/>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1</w:t>
            </w:r>
          </w:p>
        </w:tc>
        <w:tc>
          <w:tcPr>
            <w:tcW w:w="2715" w:type="dxa"/>
            <w:gridSpan w:val="3"/>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color w:val="auto"/>
                <w:sz w:val="21"/>
                <w:szCs w:val="21"/>
                <w:lang w:val="en-US" w:eastAsia="zh-CN"/>
              </w:rPr>
              <w:t>4656877.2528</w:t>
            </w:r>
          </w:p>
        </w:tc>
        <w:tc>
          <w:tcPr>
            <w:tcW w:w="3090"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color w:val="auto"/>
                <w:sz w:val="21"/>
                <w:szCs w:val="21"/>
                <w:lang w:val="en-US" w:eastAsia="zh-CN"/>
              </w:rPr>
              <w:t>40423949.9634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4" w:type="dxa"/>
            <w:vMerge w:val="continue"/>
            <w:vAlign w:val="center"/>
          </w:tcPr>
          <w:p>
            <w:pPr>
              <w:widowControl w:val="0"/>
              <w:spacing w:line="240" w:lineRule="auto"/>
              <w:jc w:val="center"/>
              <w:rPr>
                <w:rFonts w:hint="default" w:ascii="Times New Roman" w:hAnsi="Times New Roman" w:eastAsia="宋体" w:cs="Times New Roman"/>
                <w:b w:val="0"/>
                <w:bCs w:val="0"/>
                <w:color w:val="auto"/>
                <w:sz w:val="21"/>
                <w:szCs w:val="21"/>
                <w:vertAlign w:val="baseline"/>
                <w:lang w:val="en-US" w:eastAsia="zh-CN"/>
              </w:rPr>
            </w:pPr>
          </w:p>
        </w:tc>
        <w:tc>
          <w:tcPr>
            <w:tcW w:w="1215" w:type="dxa"/>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2</w:t>
            </w:r>
          </w:p>
        </w:tc>
        <w:tc>
          <w:tcPr>
            <w:tcW w:w="2715" w:type="dxa"/>
            <w:gridSpan w:val="3"/>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color w:val="auto"/>
                <w:sz w:val="21"/>
                <w:szCs w:val="21"/>
                <w:lang w:val="en-US" w:eastAsia="zh-CN"/>
              </w:rPr>
              <w:t>4656750.9527</w:t>
            </w:r>
          </w:p>
        </w:tc>
        <w:tc>
          <w:tcPr>
            <w:tcW w:w="3090"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color w:val="auto"/>
                <w:sz w:val="21"/>
                <w:szCs w:val="21"/>
                <w:lang w:val="en-US" w:eastAsia="zh-CN"/>
              </w:rPr>
              <w:t>40424034.0340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4" w:type="dxa"/>
            <w:vMerge w:val="continue"/>
            <w:vAlign w:val="center"/>
          </w:tcPr>
          <w:p>
            <w:pPr>
              <w:widowControl w:val="0"/>
              <w:spacing w:line="240" w:lineRule="auto"/>
              <w:jc w:val="center"/>
              <w:rPr>
                <w:rFonts w:hint="default" w:ascii="Times New Roman" w:hAnsi="Times New Roman" w:eastAsia="宋体" w:cs="Times New Roman"/>
                <w:b w:val="0"/>
                <w:bCs w:val="0"/>
                <w:color w:val="auto"/>
                <w:sz w:val="21"/>
                <w:szCs w:val="21"/>
                <w:vertAlign w:val="baseline"/>
                <w:lang w:val="en-US" w:eastAsia="zh-CN"/>
              </w:rPr>
            </w:pPr>
          </w:p>
        </w:tc>
        <w:tc>
          <w:tcPr>
            <w:tcW w:w="1215" w:type="dxa"/>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3</w:t>
            </w:r>
          </w:p>
        </w:tc>
        <w:tc>
          <w:tcPr>
            <w:tcW w:w="2715" w:type="dxa"/>
            <w:gridSpan w:val="3"/>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color w:val="auto"/>
                <w:sz w:val="21"/>
                <w:szCs w:val="21"/>
                <w:lang w:val="en-US" w:eastAsia="zh-CN"/>
              </w:rPr>
              <w:t>4656797.7129</w:t>
            </w:r>
          </w:p>
        </w:tc>
        <w:tc>
          <w:tcPr>
            <w:tcW w:w="3090"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color w:val="auto"/>
                <w:sz w:val="21"/>
                <w:szCs w:val="21"/>
                <w:lang w:val="en-US" w:eastAsia="zh-CN"/>
              </w:rPr>
              <w:t>40424100.2040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4" w:type="dxa"/>
            <w:vMerge w:val="continue"/>
            <w:vAlign w:val="center"/>
          </w:tcPr>
          <w:p>
            <w:pPr>
              <w:widowControl w:val="0"/>
              <w:spacing w:line="240" w:lineRule="auto"/>
              <w:jc w:val="center"/>
              <w:rPr>
                <w:rFonts w:hint="default" w:ascii="Times New Roman" w:hAnsi="Times New Roman" w:eastAsia="宋体" w:cs="Times New Roman"/>
                <w:b w:val="0"/>
                <w:bCs w:val="0"/>
                <w:color w:val="auto"/>
                <w:sz w:val="21"/>
                <w:szCs w:val="21"/>
                <w:vertAlign w:val="baseline"/>
                <w:lang w:val="en-US" w:eastAsia="zh-CN"/>
              </w:rPr>
            </w:pPr>
          </w:p>
        </w:tc>
        <w:tc>
          <w:tcPr>
            <w:tcW w:w="1215" w:type="dxa"/>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4</w:t>
            </w:r>
          </w:p>
        </w:tc>
        <w:tc>
          <w:tcPr>
            <w:tcW w:w="2715" w:type="dxa"/>
            <w:gridSpan w:val="3"/>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color w:val="auto"/>
                <w:sz w:val="21"/>
                <w:szCs w:val="21"/>
                <w:lang w:val="en-US" w:eastAsia="zh-CN"/>
              </w:rPr>
              <w:t>4656919.3430</w:t>
            </w:r>
          </w:p>
        </w:tc>
        <w:tc>
          <w:tcPr>
            <w:tcW w:w="3090"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color w:val="auto"/>
                <w:sz w:val="21"/>
                <w:szCs w:val="21"/>
                <w:lang w:val="en-US" w:eastAsia="zh-CN"/>
              </w:rPr>
              <w:t>40424006.9235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4" w:type="dxa"/>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基金计提</w:t>
            </w:r>
          </w:p>
        </w:tc>
        <w:tc>
          <w:tcPr>
            <w:tcW w:w="3105" w:type="dxa"/>
            <w:gridSpan w:val="2"/>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已提取</w:t>
            </w:r>
          </w:p>
        </w:tc>
        <w:tc>
          <w:tcPr>
            <w:tcW w:w="1695" w:type="dxa"/>
            <w:gridSpan w:val="3"/>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基金使用</w:t>
            </w:r>
          </w:p>
        </w:tc>
        <w:tc>
          <w:tcPr>
            <w:tcW w:w="2220" w:type="dxa"/>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已使用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724" w:type="dxa"/>
            <w:gridSpan w:val="7"/>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矿山企业联系方式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4" w:type="dxa"/>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联系人</w:t>
            </w:r>
          </w:p>
        </w:tc>
        <w:tc>
          <w:tcPr>
            <w:tcW w:w="3105" w:type="dxa"/>
            <w:gridSpan w:val="2"/>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刘先生</w:t>
            </w:r>
          </w:p>
        </w:tc>
        <w:tc>
          <w:tcPr>
            <w:tcW w:w="1695" w:type="dxa"/>
            <w:gridSpan w:val="3"/>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手机号</w:t>
            </w:r>
          </w:p>
        </w:tc>
        <w:tc>
          <w:tcPr>
            <w:tcW w:w="2220" w:type="dxa"/>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15947662040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4" w:type="dxa"/>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通讯地址</w:t>
            </w:r>
          </w:p>
        </w:tc>
        <w:tc>
          <w:tcPr>
            <w:tcW w:w="3105" w:type="dxa"/>
            <w:gridSpan w:val="2"/>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元宝山区美丽河镇</w:t>
            </w:r>
          </w:p>
        </w:tc>
        <w:tc>
          <w:tcPr>
            <w:tcW w:w="1695" w:type="dxa"/>
            <w:gridSpan w:val="3"/>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邮编</w:t>
            </w:r>
          </w:p>
        </w:tc>
        <w:tc>
          <w:tcPr>
            <w:tcW w:w="2220" w:type="dxa"/>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024000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4" w:type="dxa"/>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固定电话</w:t>
            </w:r>
          </w:p>
        </w:tc>
        <w:tc>
          <w:tcPr>
            <w:tcW w:w="3105" w:type="dxa"/>
            <w:gridSpan w:val="2"/>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w:t>
            </w:r>
          </w:p>
        </w:tc>
        <w:tc>
          <w:tcPr>
            <w:tcW w:w="1695" w:type="dxa"/>
            <w:gridSpan w:val="3"/>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E-mail</w:t>
            </w:r>
          </w:p>
        </w:tc>
        <w:tc>
          <w:tcPr>
            <w:tcW w:w="2220" w:type="dxa"/>
            <w:vAlign w:val="center"/>
          </w:tcPr>
          <w:p>
            <w:pPr>
              <w:widowControl w:val="0"/>
              <w:numPr>
                <w:ilvl w:val="0"/>
                <w:numId w:val="0"/>
              </w:numPr>
              <w:spacing w:line="240" w:lineRule="auto"/>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w:t>
            </w:r>
          </w:p>
        </w:tc>
      </w:tr>
    </w:tbl>
    <w:p>
      <w:pPr>
        <w:jc w:val="both"/>
        <w:rPr>
          <w:rFonts w:hint="default" w:ascii="Times New Roman" w:hAnsi="Times New Roman" w:eastAsia="宋体" w:cs="Times New Roman"/>
          <w:b w:val="0"/>
          <w:bCs w:val="0"/>
          <w:color w:val="auto"/>
          <w:sz w:val="28"/>
          <w:szCs w:val="28"/>
          <w:lang w:val="en-US" w:eastAsia="zh-CN"/>
        </w:rPr>
      </w:pPr>
    </w:p>
    <w:p>
      <w:pPr>
        <w:jc w:val="both"/>
        <w:rPr>
          <w:rFonts w:hint="default" w:ascii="Times New Roman" w:hAnsi="Times New Roman" w:eastAsia="宋体" w:cs="Times New Roman"/>
          <w:b w:val="0"/>
          <w:bCs w:val="0"/>
          <w:color w:val="auto"/>
          <w:sz w:val="28"/>
          <w:szCs w:val="28"/>
          <w:lang w:val="en-US" w:eastAsia="zh-CN"/>
        </w:rPr>
      </w:pPr>
      <w:r>
        <w:rPr>
          <w:rFonts w:hint="default" w:ascii="Times New Roman" w:hAnsi="Times New Roman" w:eastAsia="宋体" w:cs="Times New Roman"/>
          <w:b w:val="0"/>
          <w:bCs w:val="0"/>
          <w:color w:val="auto"/>
          <w:sz w:val="28"/>
          <w:szCs w:val="28"/>
          <w:lang w:val="en-US" w:eastAsia="zh-CN"/>
        </w:rPr>
        <w:br w:type="page"/>
      </w:r>
    </w:p>
    <w:p>
      <w:pPr>
        <w:keepNext w:val="0"/>
        <w:keepLines w:val="0"/>
        <w:pageBreakBefore w:val="0"/>
        <w:widowControl/>
        <w:numPr>
          <w:ilvl w:val="0"/>
          <w:numId w:val="1"/>
        </w:numPr>
        <w:kinsoku/>
        <w:wordWrap/>
        <w:overflowPunct/>
        <w:topLinePunct w:val="0"/>
        <w:autoSpaceDE/>
        <w:autoSpaceDN/>
        <w:bidi w:val="0"/>
        <w:adjustRightInd w:val="0"/>
        <w:snapToGrid w:val="0"/>
        <w:spacing w:line="480" w:lineRule="auto"/>
        <w:ind w:left="0" w:leftChars="0" w:firstLine="0" w:firstLineChars="0"/>
        <w:jc w:val="center"/>
        <w:textAlignment w:val="auto"/>
        <w:outlineLvl w:val="0"/>
        <w:rPr>
          <w:rFonts w:hint="default" w:ascii="Times New Roman" w:hAnsi="Times New Roman" w:eastAsia="宋体" w:cs="Times New Roman"/>
          <w:b/>
          <w:bCs/>
          <w:color w:val="auto"/>
          <w:sz w:val="36"/>
          <w:szCs w:val="36"/>
          <w:lang w:val="en-US" w:eastAsia="zh-CN"/>
        </w:rPr>
      </w:pPr>
      <w:r>
        <w:rPr>
          <w:rFonts w:hint="default" w:ascii="Times New Roman" w:hAnsi="Times New Roman" w:eastAsia="宋体" w:cs="Times New Roman"/>
          <w:b/>
          <w:bCs/>
          <w:color w:val="auto"/>
          <w:sz w:val="32"/>
          <w:szCs w:val="32"/>
          <w:lang w:val="en-US" w:eastAsia="zh-CN"/>
        </w:rPr>
        <w:t xml:space="preserve"> </w:t>
      </w:r>
      <w:bookmarkStart w:id="4" w:name="_Toc15725"/>
      <w:bookmarkStart w:id="5" w:name="_Toc21775"/>
      <w:bookmarkStart w:id="6" w:name="_Toc4103"/>
      <w:bookmarkStart w:id="7" w:name="_Toc5550"/>
      <w:r>
        <w:rPr>
          <w:rFonts w:hint="default" w:ascii="Times New Roman" w:hAnsi="Times New Roman" w:eastAsia="宋体" w:cs="Times New Roman"/>
          <w:b/>
          <w:bCs/>
          <w:color w:val="auto"/>
          <w:sz w:val="32"/>
          <w:szCs w:val="32"/>
          <w:lang w:val="en-US" w:eastAsia="zh-CN"/>
        </w:rPr>
        <w:t>矿山地质环境治理方案的编制与执行情况</w:t>
      </w:r>
      <w:bookmarkEnd w:id="4"/>
      <w:bookmarkEnd w:id="5"/>
      <w:bookmarkEnd w:id="6"/>
      <w:bookmarkEnd w:id="7"/>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jc w:val="left"/>
        <w:textAlignment w:val="auto"/>
        <w:outlineLvl w:val="1"/>
        <w:rPr>
          <w:rFonts w:hint="default" w:ascii="Times New Roman" w:hAnsi="Times New Roman" w:eastAsia="宋体" w:cs="Times New Roman"/>
          <w:color w:val="auto"/>
          <w:sz w:val="24"/>
          <w:szCs w:val="24"/>
          <w:lang w:val="en-US" w:eastAsia="zh-CN"/>
        </w:rPr>
      </w:pPr>
      <w:bookmarkStart w:id="8" w:name="_Toc15468"/>
      <w:bookmarkStart w:id="9" w:name="_Toc1814"/>
      <w:bookmarkStart w:id="10" w:name="_Toc17036"/>
      <w:bookmarkStart w:id="11" w:name="_Toc2966"/>
      <w:r>
        <w:rPr>
          <w:rFonts w:hint="default" w:ascii="Times New Roman" w:hAnsi="Times New Roman" w:eastAsia="宋体" w:cs="Times New Roman"/>
          <w:b/>
          <w:bCs/>
          <w:color w:val="auto"/>
          <w:sz w:val="28"/>
          <w:szCs w:val="28"/>
          <w:lang w:val="en-US" w:eastAsia="zh-CN"/>
        </w:rPr>
        <w:t>一、方案编制概况</w:t>
      </w:r>
      <w:bookmarkEnd w:id="8"/>
      <w:bookmarkEnd w:id="9"/>
      <w:bookmarkEnd w:id="10"/>
      <w:bookmarkEnd w:id="11"/>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rPr>
        <w:t>2016年5月</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由</w:t>
      </w:r>
      <w:r>
        <w:rPr>
          <w:rFonts w:hint="default" w:ascii="Times New Roman" w:hAnsi="Times New Roman" w:eastAsia="宋体" w:cs="Times New Roman"/>
          <w:bCs/>
          <w:color w:val="auto"/>
          <w:sz w:val="24"/>
          <w:szCs w:val="24"/>
        </w:rPr>
        <w:t>赤峰北方地质勘查测绘有限公司</w:t>
      </w:r>
      <w:r>
        <w:rPr>
          <w:rFonts w:hint="default" w:ascii="Times New Roman" w:hAnsi="Times New Roman" w:eastAsia="宋体" w:cs="Times New Roman"/>
          <w:color w:val="auto"/>
          <w:sz w:val="24"/>
          <w:szCs w:val="24"/>
        </w:rPr>
        <w:t>编制的《</w:t>
      </w:r>
      <w:r>
        <w:rPr>
          <w:rFonts w:hint="default" w:ascii="Times New Roman" w:hAnsi="Times New Roman" w:eastAsia="宋体" w:cs="Times New Roman"/>
          <w:bCs/>
          <w:color w:val="auto"/>
          <w:sz w:val="24"/>
          <w:szCs w:val="24"/>
        </w:rPr>
        <w:t>内蒙古自治区赤峰市元宝山区美丽河镇大金沟村建筑用石玄武岩矿开发与治理综合方案</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eastAsia="zh-CN"/>
        </w:rPr>
        <w:t>备案文号：赤国土资综合评字（</w:t>
      </w:r>
      <w:r>
        <w:rPr>
          <w:rFonts w:hint="default" w:ascii="Times New Roman" w:hAnsi="Times New Roman" w:eastAsia="宋体" w:cs="Times New Roman"/>
          <w:color w:val="auto"/>
          <w:sz w:val="24"/>
          <w:szCs w:val="24"/>
          <w:lang w:val="en-US" w:eastAsia="zh-CN"/>
        </w:rPr>
        <w:t>2016</w:t>
      </w:r>
      <w:r>
        <w:rPr>
          <w:rFonts w:hint="default" w:ascii="Times New Roman" w:hAnsi="Times New Roman" w:eastAsia="宋体" w:cs="Times New Roman"/>
          <w:color w:val="auto"/>
          <w:sz w:val="24"/>
          <w:szCs w:val="24"/>
          <w:lang w:eastAsia="zh-CN"/>
        </w:rPr>
        <w:t>）第</w:t>
      </w:r>
      <w:r>
        <w:rPr>
          <w:rFonts w:hint="default" w:ascii="Times New Roman" w:hAnsi="Times New Roman" w:eastAsia="宋体" w:cs="Times New Roman"/>
          <w:color w:val="auto"/>
          <w:sz w:val="24"/>
          <w:szCs w:val="24"/>
          <w:lang w:val="en-US" w:eastAsia="zh-CN"/>
        </w:rPr>
        <w:t>20号，以下简称“方案”。</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contextualSpacing/>
        <w:jc w:val="left"/>
        <w:textAlignment w:val="center"/>
        <w:rPr>
          <w:rFonts w:hint="default" w:ascii="Times New Roman" w:hAnsi="Times New Roman" w:eastAsia="宋体" w:cs="Times New Roman"/>
          <w:bCs/>
          <w:color w:val="auto"/>
          <w:sz w:val="24"/>
          <w:szCs w:val="24"/>
          <w:lang w:eastAsia="zh-CN"/>
        </w:rPr>
      </w:pPr>
      <w:r>
        <w:rPr>
          <w:rFonts w:hint="default" w:ascii="Times New Roman" w:hAnsi="Times New Roman" w:eastAsia="宋体" w:cs="Times New Roman"/>
          <w:bCs/>
          <w:color w:val="auto"/>
          <w:sz w:val="24"/>
          <w:szCs w:val="24"/>
          <w:lang w:val="en-US" w:eastAsia="zh-CN"/>
        </w:rPr>
        <w:t>2、2021年2月，由</w:t>
      </w:r>
      <w:r>
        <w:rPr>
          <w:rFonts w:hint="default" w:ascii="Times New Roman" w:hAnsi="Times New Roman" w:eastAsia="宋体" w:cs="Times New Roman"/>
          <w:bCs/>
          <w:color w:val="auto"/>
          <w:sz w:val="24"/>
          <w:szCs w:val="24"/>
        </w:rPr>
        <w:t>赤峰龙阳电力安装有限公司</w:t>
      </w:r>
      <w:r>
        <w:rPr>
          <w:rFonts w:hint="default" w:ascii="Times New Roman" w:hAnsi="Times New Roman" w:eastAsia="宋体" w:cs="Times New Roman"/>
          <w:bCs/>
          <w:color w:val="auto"/>
          <w:sz w:val="24"/>
          <w:szCs w:val="24"/>
          <w:lang w:eastAsia="zh-CN"/>
        </w:rPr>
        <w:t>提交的《</w:t>
      </w:r>
      <w:r>
        <w:rPr>
          <w:rFonts w:hint="default" w:ascii="Times New Roman" w:hAnsi="Times New Roman" w:eastAsia="宋体" w:cs="Times New Roman"/>
          <w:bCs/>
          <w:color w:val="auto"/>
          <w:sz w:val="24"/>
          <w:szCs w:val="24"/>
        </w:rPr>
        <w:t>赤峰市元宝山区美丽河镇大金沟村建筑用石玄武岩矿2021年度矿山地质环境治理计划书</w:t>
      </w:r>
      <w:r>
        <w:rPr>
          <w:rFonts w:hint="default" w:ascii="Times New Roman" w:hAnsi="Times New Roman" w:eastAsia="宋体" w:cs="Times New Roman"/>
          <w:bCs/>
          <w:color w:val="auto"/>
          <w:sz w:val="24"/>
          <w:szCs w:val="24"/>
          <w:lang w:eastAsia="zh-CN"/>
        </w:rPr>
        <w:t>》。</w:t>
      </w:r>
    </w:p>
    <w:p>
      <w:pPr>
        <w:pStyle w:val="2"/>
        <w:keepNext w:val="0"/>
        <w:keepLines w:val="0"/>
        <w:pageBreakBefore w:val="0"/>
        <w:kinsoku/>
        <w:wordWrap/>
        <w:overflowPunct/>
        <w:topLinePunct w:val="0"/>
        <w:bidi w:val="0"/>
        <w:adjustRightInd w:val="0"/>
        <w:spacing w:line="360" w:lineRule="auto"/>
        <w:ind w:firstLine="480" w:firstLineChars="200"/>
        <w:jc w:val="left"/>
        <w:rPr>
          <w:rFonts w:hint="default" w:ascii="Times New Roman" w:hAnsi="Times New Roman" w:eastAsia="宋体" w:cs="Times New Roman"/>
          <w:bCs/>
          <w:color w:val="auto"/>
          <w:sz w:val="24"/>
          <w:szCs w:val="24"/>
          <w:lang w:eastAsia="zh-CN"/>
        </w:rPr>
      </w:pPr>
      <w:r>
        <w:rPr>
          <w:rFonts w:hint="default" w:ascii="Times New Roman" w:hAnsi="Times New Roman" w:eastAsia="宋体" w:cs="Times New Roman"/>
          <w:bCs/>
          <w:color w:val="auto"/>
          <w:sz w:val="24"/>
          <w:szCs w:val="24"/>
          <w:lang w:val="en-US" w:eastAsia="zh-CN"/>
        </w:rPr>
        <w:t>3、2022年3月，由赤峰比尔商贸有限公司</w:t>
      </w:r>
      <w:r>
        <w:rPr>
          <w:rFonts w:hint="default" w:ascii="Times New Roman" w:hAnsi="Times New Roman" w:eastAsia="宋体" w:cs="Times New Roman"/>
          <w:bCs/>
          <w:color w:val="auto"/>
          <w:sz w:val="24"/>
          <w:szCs w:val="24"/>
          <w:lang w:eastAsia="zh-CN"/>
        </w:rPr>
        <w:t>提交的《</w:t>
      </w:r>
      <w:r>
        <w:rPr>
          <w:rFonts w:hint="default" w:ascii="Times New Roman" w:hAnsi="Times New Roman" w:eastAsia="宋体" w:cs="Times New Roman"/>
          <w:bCs/>
          <w:color w:val="auto"/>
          <w:sz w:val="24"/>
          <w:szCs w:val="24"/>
        </w:rPr>
        <w:t>赤峰市元宝山区美丽河镇大金沟村建筑用石玄武岩矿202</w:t>
      </w:r>
      <w:r>
        <w:rPr>
          <w:rFonts w:hint="default" w:ascii="Times New Roman" w:hAnsi="Times New Roman" w:eastAsia="宋体" w:cs="Times New Roman"/>
          <w:bCs/>
          <w:color w:val="auto"/>
          <w:sz w:val="24"/>
          <w:szCs w:val="24"/>
          <w:lang w:val="en-US" w:eastAsia="zh-CN"/>
        </w:rPr>
        <w:t>2</w:t>
      </w:r>
      <w:r>
        <w:rPr>
          <w:rFonts w:hint="default" w:ascii="Times New Roman" w:hAnsi="Times New Roman" w:eastAsia="宋体" w:cs="Times New Roman"/>
          <w:bCs/>
          <w:color w:val="auto"/>
          <w:sz w:val="24"/>
          <w:szCs w:val="24"/>
        </w:rPr>
        <w:t>年度矿山地质环境治理计划书</w:t>
      </w:r>
      <w:r>
        <w:rPr>
          <w:rFonts w:hint="default" w:ascii="Times New Roman" w:hAnsi="Times New Roman" w:eastAsia="宋体" w:cs="Times New Roman"/>
          <w:bCs/>
          <w:color w:val="auto"/>
          <w:sz w:val="24"/>
          <w:szCs w:val="24"/>
          <w:lang w:eastAsia="zh-CN"/>
        </w:rPr>
        <w:t>》。</w:t>
      </w:r>
    </w:p>
    <w:p>
      <w:pPr>
        <w:pStyle w:val="2"/>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4、2023年3月，由赤峰比尔商贸有限公司</w:t>
      </w:r>
      <w:r>
        <w:rPr>
          <w:rFonts w:hint="default" w:ascii="Times New Roman" w:hAnsi="Times New Roman" w:eastAsia="宋体" w:cs="Times New Roman"/>
          <w:bCs/>
          <w:color w:val="auto"/>
          <w:sz w:val="24"/>
          <w:szCs w:val="24"/>
          <w:lang w:eastAsia="zh-CN"/>
        </w:rPr>
        <w:t>提交的《</w:t>
      </w:r>
      <w:r>
        <w:rPr>
          <w:rFonts w:hint="default" w:ascii="Times New Roman" w:hAnsi="Times New Roman" w:eastAsia="宋体" w:cs="Times New Roman"/>
          <w:bCs/>
          <w:color w:val="auto"/>
          <w:sz w:val="24"/>
          <w:szCs w:val="24"/>
        </w:rPr>
        <w:t>赤峰市元宝山区美丽河镇大金沟村建筑用石玄武岩矿202</w:t>
      </w:r>
      <w:r>
        <w:rPr>
          <w:rFonts w:hint="default" w:ascii="Times New Roman" w:hAnsi="Times New Roman" w:eastAsia="宋体" w:cs="Times New Roman"/>
          <w:bCs/>
          <w:color w:val="auto"/>
          <w:sz w:val="24"/>
          <w:szCs w:val="24"/>
          <w:lang w:val="en-US" w:eastAsia="zh-CN"/>
        </w:rPr>
        <w:t>3</w:t>
      </w:r>
      <w:r>
        <w:rPr>
          <w:rFonts w:hint="default" w:ascii="Times New Roman" w:hAnsi="Times New Roman" w:eastAsia="宋体" w:cs="Times New Roman"/>
          <w:bCs/>
          <w:color w:val="auto"/>
          <w:sz w:val="24"/>
          <w:szCs w:val="24"/>
        </w:rPr>
        <w:t>年度矿山地质环境治理计划书</w:t>
      </w:r>
      <w:r>
        <w:rPr>
          <w:rFonts w:hint="default" w:ascii="Times New Roman" w:hAnsi="Times New Roman" w:eastAsia="宋体" w:cs="Times New Roman"/>
          <w:bCs/>
          <w:color w:val="auto"/>
          <w:sz w:val="24"/>
          <w:szCs w:val="24"/>
          <w:lang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jc w:val="left"/>
        <w:textAlignment w:val="auto"/>
        <w:outlineLvl w:val="1"/>
        <w:rPr>
          <w:rFonts w:hint="default" w:ascii="Times New Roman" w:hAnsi="Times New Roman" w:eastAsia="宋体" w:cs="Times New Roman"/>
          <w:b/>
          <w:bCs/>
          <w:color w:val="auto"/>
          <w:sz w:val="24"/>
          <w:szCs w:val="24"/>
        </w:rPr>
      </w:pPr>
      <w:bookmarkStart w:id="12" w:name="_Toc19156"/>
      <w:bookmarkStart w:id="13" w:name="_Toc28707"/>
      <w:bookmarkStart w:id="14" w:name="_Toc9197"/>
      <w:bookmarkStart w:id="15" w:name="_Toc7497"/>
      <w:r>
        <w:rPr>
          <w:rFonts w:hint="default" w:ascii="Times New Roman" w:hAnsi="Times New Roman" w:eastAsia="宋体" w:cs="Times New Roman"/>
          <w:b/>
          <w:bCs/>
          <w:color w:val="auto"/>
          <w:sz w:val="28"/>
          <w:szCs w:val="28"/>
          <w:lang w:val="en-US" w:eastAsia="zh-CN"/>
        </w:rPr>
        <w:t>二、</w:t>
      </w:r>
      <w:bookmarkEnd w:id="12"/>
      <w:bookmarkEnd w:id="13"/>
      <w:bookmarkEnd w:id="14"/>
      <w:r>
        <w:rPr>
          <w:rFonts w:hint="default" w:ascii="Times New Roman" w:hAnsi="Times New Roman" w:eastAsia="宋体" w:cs="Times New Roman"/>
          <w:b/>
          <w:bCs/>
          <w:color w:val="auto"/>
          <w:sz w:val="28"/>
          <w:szCs w:val="28"/>
          <w:lang w:val="en-US" w:eastAsia="zh-CN"/>
        </w:rPr>
        <w:t>治理方案规划的近期治理工程内容</w:t>
      </w:r>
      <w:bookmarkEnd w:id="15"/>
    </w:p>
    <w:p>
      <w:pPr>
        <w:keepNext w:val="0"/>
        <w:keepLines w:val="0"/>
        <w:pageBreakBefore w:val="0"/>
        <w:widowControl/>
        <w:kinsoku/>
        <w:wordWrap/>
        <w:overflowPunct/>
        <w:topLinePunct w:val="0"/>
        <w:autoSpaceDE/>
        <w:autoSpaceDN/>
        <w:bidi w:val="0"/>
        <w:spacing w:after="0" w:line="360" w:lineRule="auto"/>
        <w:ind w:firstLine="480" w:firstLineChars="200"/>
        <w:contextualSpacing/>
        <w:jc w:val="left"/>
        <w:textAlignment w:val="auto"/>
        <w:rPr>
          <w:rFonts w:hint="default" w:ascii="Times New Roman" w:hAnsi="Times New Roman" w:eastAsia="宋体" w:cs="Times New Roman"/>
          <w:b w:val="0"/>
          <w:bCs w:val="0"/>
          <w:color w:val="auto"/>
          <w:sz w:val="24"/>
          <w:szCs w:val="24"/>
          <w:lang w:eastAsia="zh-CN"/>
        </w:rPr>
      </w:pPr>
      <w:r>
        <w:rPr>
          <w:rFonts w:hint="default" w:ascii="Times New Roman" w:hAnsi="Times New Roman" w:eastAsia="宋体" w:cs="Times New Roman"/>
          <w:bCs/>
          <w:color w:val="auto"/>
          <w:sz w:val="24"/>
          <w:szCs w:val="24"/>
          <w:lang w:val="en-US" w:eastAsia="zh-CN"/>
        </w:rPr>
        <w:t>2016年5月，由</w:t>
      </w:r>
      <w:r>
        <w:rPr>
          <w:rFonts w:hint="default" w:ascii="Times New Roman" w:hAnsi="Times New Roman" w:eastAsia="宋体" w:cs="Times New Roman"/>
          <w:bCs/>
          <w:color w:val="auto"/>
          <w:sz w:val="24"/>
          <w:szCs w:val="24"/>
        </w:rPr>
        <w:t>赤峰北方地质勘查测绘有限公司编制的《内蒙古自治区赤峰市元宝山区美丽河镇大金沟村建筑用石玄武岩矿开发与治理综合方案》</w:t>
      </w:r>
      <w:r>
        <w:rPr>
          <w:rFonts w:hint="default" w:ascii="Times New Roman" w:hAnsi="Times New Roman" w:eastAsia="宋体" w:cs="Times New Roman"/>
          <w:bCs/>
          <w:color w:val="auto"/>
          <w:sz w:val="24"/>
          <w:szCs w:val="24"/>
          <w:lang w:eastAsia="zh-CN"/>
        </w:rPr>
        <w:t>，</w:t>
      </w:r>
      <w:r>
        <w:rPr>
          <w:rFonts w:hint="default" w:ascii="Times New Roman" w:hAnsi="Times New Roman" w:eastAsia="宋体" w:cs="Times New Roman"/>
          <w:bCs/>
          <w:color w:val="auto"/>
          <w:sz w:val="24"/>
          <w:szCs w:val="24"/>
        </w:rPr>
        <w:t>首期治理时间为2016年6月1日至2019年5月31日，</w:t>
      </w:r>
      <w:r>
        <w:rPr>
          <w:rFonts w:hint="default" w:ascii="Times New Roman" w:hAnsi="Times New Roman" w:eastAsia="宋体" w:cs="Times New Roman"/>
          <w:bCs/>
          <w:color w:val="auto"/>
          <w:sz w:val="24"/>
          <w:szCs w:val="24"/>
          <w:lang w:val="en-US" w:eastAsia="zh-CN"/>
        </w:rPr>
        <w:t>原综合治理方案已过试用期，且原方案编制时间较早，适用性较差</w:t>
      </w:r>
      <w:r>
        <w:rPr>
          <w:rFonts w:hint="default" w:ascii="Times New Roman" w:hAnsi="Times New Roman" w:eastAsia="宋体" w:cs="Times New Roman"/>
          <w:bCs/>
          <w:color w:val="auto"/>
          <w:sz w:val="24"/>
          <w:szCs w:val="24"/>
          <w:lang w:eastAsia="zh-CN"/>
        </w:rPr>
        <w:t>，无实质性治理内容。</w:t>
      </w:r>
      <w:r>
        <w:rPr>
          <w:rFonts w:hint="default" w:ascii="Times New Roman" w:hAnsi="Times New Roman" w:eastAsia="宋体" w:cs="Times New Roman"/>
          <w:bCs/>
          <w:color w:val="auto"/>
          <w:sz w:val="24"/>
          <w:szCs w:val="24"/>
          <w:lang w:val="en-US" w:eastAsia="zh-CN"/>
        </w:rPr>
        <w:t>《</w:t>
      </w:r>
      <w:r>
        <w:rPr>
          <w:rFonts w:hint="default" w:ascii="Times New Roman" w:hAnsi="Times New Roman" w:eastAsia="宋体" w:cs="Times New Roman"/>
          <w:bCs/>
          <w:color w:val="auto"/>
          <w:sz w:val="24"/>
          <w:szCs w:val="24"/>
          <w:lang w:eastAsia="zh-CN"/>
        </w:rPr>
        <w:t>方案</w:t>
      </w:r>
      <w:r>
        <w:rPr>
          <w:rFonts w:hint="default" w:ascii="Times New Roman" w:hAnsi="Times New Roman" w:eastAsia="宋体" w:cs="Times New Roman"/>
          <w:bCs/>
          <w:color w:val="auto"/>
          <w:sz w:val="24"/>
          <w:szCs w:val="24"/>
          <w:lang w:val="en-US" w:eastAsia="zh-CN"/>
        </w:rPr>
        <w:t>》近期规划的</w:t>
      </w:r>
      <w:r>
        <w:rPr>
          <w:rFonts w:hint="default" w:ascii="Times New Roman" w:hAnsi="Times New Roman" w:eastAsia="宋体" w:cs="Times New Roman"/>
          <w:bCs/>
          <w:color w:val="auto"/>
          <w:sz w:val="24"/>
          <w:szCs w:val="24"/>
          <w:lang w:eastAsia="zh-CN"/>
        </w:rPr>
        <w:t>治理内容为：</w:t>
      </w:r>
    </w:p>
    <w:p>
      <w:pPr>
        <w:keepNext w:val="0"/>
        <w:keepLines w:val="0"/>
        <w:pageBreakBefore w:val="0"/>
        <w:widowControl/>
        <w:kinsoku/>
        <w:wordWrap/>
        <w:overflowPunct/>
        <w:topLinePunct w:val="0"/>
        <w:autoSpaceDE/>
        <w:autoSpaceDN/>
        <w:bidi w:val="0"/>
        <w:spacing w:line="360" w:lineRule="auto"/>
        <w:ind w:firstLine="480" w:firstLineChars="200"/>
        <w:jc w:val="left"/>
        <w:textAlignment w:val="auto"/>
        <w:rPr>
          <w:rFonts w:hint="default" w:ascii="Times New Roman" w:hAnsi="Times New Roman" w:eastAsia="宋体" w:cs="Times New Roman"/>
          <w:color w:val="auto"/>
          <w:spacing w:val="0"/>
          <w:sz w:val="24"/>
          <w:szCs w:val="24"/>
        </w:rPr>
      </w:pPr>
      <w:r>
        <w:rPr>
          <w:rFonts w:hint="default" w:ascii="Times New Roman" w:hAnsi="Times New Roman" w:eastAsia="宋体" w:cs="Times New Roman"/>
          <w:color w:val="auto"/>
          <w:spacing w:val="0"/>
          <w:sz w:val="24"/>
          <w:szCs w:val="24"/>
        </w:rPr>
        <w:t>1、</w:t>
      </w:r>
      <w:r>
        <w:rPr>
          <w:rFonts w:hint="eastAsia" w:ascii="Times New Roman" w:hAnsi="Times New Roman" w:eastAsia="宋体" w:cs="Times New Roman"/>
          <w:color w:val="auto"/>
          <w:spacing w:val="0"/>
          <w:sz w:val="24"/>
          <w:szCs w:val="24"/>
          <w:lang w:val="en-US" w:eastAsia="zh-CN"/>
        </w:rPr>
        <w:t>对</w:t>
      </w:r>
      <w:r>
        <w:rPr>
          <w:rFonts w:hint="default" w:ascii="Times New Roman" w:hAnsi="Times New Roman" w:eastAsia="宋体" w:cs="Times New Roman"/>
          <w:color w:val="auto"/>
          <w:spacing w:val="0"/>
          <w:sz w:val="24"/>
          <w:szCs w:val="24"/>
        </w:rPr>
        <w:t>露天采场表土及风化层的剥离、危岩体处理、设置网围栏和警示牌、地质灾害监测。</w:t>
      </w:r>
    </w:p>
    <w:p>
      <w:pPr>
        <w:keepNext w:val="0"/>
        <w:keepLines w:val="0"/>
        <w:pageBreakBefore w:val="0"/>
        <w:widowControl/>
        <w:kinsoku/>
        <w:wordWrap/>
        <w:overflowPunct/>
        <w:topLinePunct w:val="0"/>
        <w:autoSpaceDE/>
        <w:autoSpaceDN/>
        <w:bidi w:val="0"/>
        <w:spacing w:line="360" w:lineRule="auto"/>
        <w:ind w:firstLine="480" w:firstLineChars="200"/>
        <w:jc w:val="left"/>
        <w:textAlignment w:val="auto"/>
        <w:rPr>
          <w:rFonts w:hint="default" w:ascii="Times New Roman" w:hAnsi="Times New Roman" w:eastAsia="宋体" w:cs="Times New Roman"/>
          <w:color w:val="auto"/>
          <w:spacing w:val="0"/>
          <w:sz w:val="24"/>
          <w:szCs w:val="24"/>
        </w:rPr>
      </w:pPr>
      <w:r>
        <w:rPr>
          <w:rFonts w:hint="default" w:ascii="Times New Roman" w:hAnsi="Times New Roman" w:eastAsia="宋体" w:cs="Times New Roman"/>
          <w:color w:val="auto"/>
          <w:spacing w:val="0"/>
          <w:sz w:val="24"/>
          <w:szCs w:val="24"/>
        </w:rPr>
        <w:t>2、</w:t>
      </w:r>
      <w:r>
        <w:rPr>
          <w:rFonts w:hint="eastAsia" w:ascii="Times New Roman" w:hAnsi="Times New Roman" w:eastAsia="宋体" w:cs="Times New Roman"/>
          <w:color w:val="auto"/>
          <w:spacing w:val="0"/>
          <w:sz w:val="24"/>
          <w:szCs w:val="24"/>
          <w:lang w:val="en-US" w:eastAsia="zh-CN"/>
        </w:rPr>
        <w:t>对</w:t>
      </w:r>
      <w:r>
        <w:rPr>
          <w:rFonts w:hint="default" w:ascii="Times New Roman" w:hAnsi="Times New Roman" w:eastAsia="宋体" w:cs="Times New Roman"/>
          <w:color w:val="auto"/>
          <w:spacing w:val="0"/>
          <w:sz w:val="24"/>
          <w:szCs w:val="24"/>
        </w:rPr>
        <w:t>排渣场、采矿工业场地、办公生活区</w:t>
      </w:r>
      <w:r>
        <w:rPr>
          <w:rFonts w:hint="eastAsia" w:ascii="Times New Roman" w:hAnsi="Times New Roman" w:eastAsia="宋体" w:cs="Times New Roman"/>
          <w:color w:val="auto"/>
          <w:spacing w:val="0"/>
          <w:sz w:val="24"/>
          <w:szCs w:val="24"/>
          <w:lang w:val="en-US" w:eastAsia="zh-CN"/>
        </w:rPr>
        <w:t>进行</w:t>
      </w:r>
      <w:r>
        <w:rPr>
          <w:rFonts w:hint="default" w:ascii="Times New Roman" w:hAnsi="Times New Roman" w:eastAsia="宋体" w:cs="Times New Roman"/>
          <w:color w:val="auto"/>
          <w:spacing w:val="0"/>
          <w:sz w:val="24"/>
          <w:szCs w:val="24"/>
        </w:rPr>
        <w:t>表土剥离。</w:t>
      </w:r>
    </w:p>
    <w:p>
      <w:pPr>
        <w:keepNext w:val="0"/>
        <w:keepLines w:val="0"/>
        <w:pageBreakBefore w:val="0"/>
        <w:widowControl/>
        <w:tabs>
          <w:tab w:val="left" w:pos="1300"/>
        </w:tabs>
        <w:kinsoku/>
        <w:wordWrap/>
        <w:overflowPunct/>
        <w:topLinePunct w:val="0"/>
        <w:autoSpaceDE/>
        <w:autoSpaceDN/>
        <w:bidi w:val="0"/>
        <w:spacing w:line="360" w:lineRule="auto"/>
        <w:ind w:firstLine="480" w:firstLineChars="200"/>
        <w:jc w:val="left"/>
        <w:textAlignment w:val="auto"/>
        <w:rPr>
          <w:rFonts w:hint="eastAsia" w:ascii="黑体" w:hAnsi="黑体" w:eastAsia="黑体" w:cs="黑体"/>
          <w:color w:val="auto"/>
          <w:sz w:val="24"/>
          <w:szCs w:val="24"/>
        </w:rPr>
      </w:pPr>
      <w:r>
        <w:rPr>
          <w:rFonts w:hint="default" w:ascii="Times New Roman" w:hAnsi="Times New Roman" w:eastAsia="宋体" w:cs="Times New Roman"/>
          <w:color w:val="auto"/>
          <w:spacing w:val="0"/>
          <w:sz w:val="24"/>
          <w:szCs w:val="24"/>
        </w:rPr>
        <w:t>3、对表土存放场种草保护表土。</w:t>
      </w:r>
    </w:p>
    <w:p>
      <w:pPr>
        <w:keepNext w:val="0"/>
        <w:keepLines w:val="0"/>
        <w:pageBreakBefore w:val="0"/>
        <w:widowControl/>
        <w:kinsoku/>
        <w:wordWrap/>
        <w:overflowPunct/>
        <w:topLinePunct w:val="0"/>
        <w:autoSpaceDE/>
        <w:autoSpaceDN/>
        <w:bidi w:val="0"/>
        <w:adjustRightInd w:val="0"/>
        <w:snapToGrid w:val="0"/>
        <w:spacing w:line="360" w:lineRule="auto"/>
        <w:ind w:firstLine="0" w:firstLineChars="0"/>
        <w:jc w:val="center"/>
        <w:textAlignment w:val="auto"/>
        <w:rPr>
          <w:rFonts w:ascii="宋体" w:hAnsi="宋体"/>
          <w:color w:val="auto"/>
        </w:rPr>
      </w:pPr>
      <w:r>
        <w:rPr>
          <w:rFonts w:hint="eastAsia" w:ascii="黑体" w:hAnsi="黑体" w:eastAsia="黑体" w:cs="黑体"/>
          <w:color w:val="auto"/>
          <w:sz w:val="24"/>
          <w:szCs w:val="24"/>
        </w:rPr>
        <w:t xml:space="preserve">表2-1  </w:t>
      </w:r>
      <w:r>
        <w:rPr>
          <w:rFonts w:hint="eastAsia" w:ascii="黑体" w:hAnsi="黑体" w:eastAsia="黑体" w:cs="黑体"/>
          <w:color w:val="auto"/>
          <w:sz w:val="24"/>
          <w:szCs w:val="24"/>
          <w:lang w:val="en-US" w:eastAsia="zh-CN"/>
        </w:rPr>
        <w:t>近期</w:t>
      </w:r>
      <w:r>
        <w:rPr>
          <w:rFonts w:hint="eastAsia" w:ascii="黑体" w:hAnsi="黑体" w:eastAsia="黑体" w:cs="黑体"/>
          <w:color w:val="auto"/>
          <w:sz w:val="24"/>
          <w:szCs w:val="24"/>
        </w:rPr>
        <w:t>规划内容一览表</w:t>
      </w:r>
    </w:p>
    <w:tbl>
      <w:tblPr>
        <w:tblStyle w:val="9"/>
        <w:tblW w:w="83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3"/>
        <w:gridCol w:w="1100"/>
        <w:gridCol w:w="963"/>
        <w:gridCol w:w="981"/>
        <w:gridCol w:w="944"/>
        <w:gridCol w:w="1084"/>
        <w:gridCol w:w="1013"/>
        <w:gridCol w:w="10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33" w:type="dxa"/>
            <w:vMerge w:val="restart"/>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pacing w:val="-8"/>
                <w:kern w:val="0"/>
                <w:sz w:val="18"/>
                <w:szCs w:val="18"/>
              </w:rPr>
            </w:pPr>
            <w:r>
              <w:rPr>
                <w:rFonts w:hint="default" w:ascii="Times New Roman" w:hAnsi="Times New Roman" w:eastAsia="宋体" w:cs="Times New Roman"/>
                <w:color w:val="auto"/>
                <w:spacing w:val="-8"/>
                <w:kern w:val="0"/>
                <w:sz w:val="18"/>
                <w:szCs w:val="18"/>
              </w:rPr>
              <w:t>治理单元</w:t>
            </w:r>
          </w:p>
        </w:tc>
        <w:tc>
          <w:tcPr>
            <w:tcW w:w="1100" w:type="dxa"/>
            <w:vMerge w:val="restart"/>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pacing w:val="-8"/>
                <w:kern w:val="0"/>
                <w:sz w:val="18"/>
                <w:szCs w:val="18"/>
              </w:rPr>
            </w:pPr>
            <w:r>
              <w:rPr>
                <w:rFonts w:hint="default" w:ascii="Times New Roman" w:hAnsi="Times New Roman" w:eastAsia="宋体" w:cs="Times New Roman"/>
                <w:color w:val="auto"/>
                <w:spacing w:val="-8"/>
                <w:kern w:val="0"/>
                <w:sz w:val="18"/>
                <w:szCs w:val="18"/>
              </w:rPr>
              <w:t>治理面积</w:t>
            </w:r>
          </w:p>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pacing w:val="-8"/>
                <w:kern w:val="0"/>
                <w:sz w:val="18"/>
                <w:szCs w:val="18"/>
              </w:rPr>
            </w:pPr>
            <w:r>
              <w:rPr>
                <w:rFonts w:hint="default" w:ascii="Times New Roman" w:hAnsi="Times New Roman" w:eastAsia="宋体" w:cs="Times New Roman"/>
                <w:color w:val="auto"/>
                <w:spacing w:val="-8"/>
                <w:kern w:val="0"/>
                <w:sz w:val="18"/>
                <w:szCs w:val="18"/>
              </w:rPr>
              <w:t>(m</w:t>
            </w:r>
            <w:r>
              <w:rPr>
                <w:rFonts w:hint="default" w:ascii="Times New Roman" w:hAnsi="Times New Roman" w:eastAsia="宋体" w:cs="Times New Roman"/>
                <w:color w:val="auto"/>
                <w:spacing w:val="-8"/>
                <w:kern w:val="0"/>
                <w:sz w:val="18"/>
                <w:szCs w:val="18"/>
                <w:vertAlign w:val="superscript"/>
              </w:rPr>
              <w:t>2</w:t>
            </w:r>
            <w:r>
              <w:rPr>
                <w:rFonts w:hint="default" w:ascii="Times New Roman" w:hAnsi="Times New Roman" w:eastAsia="宋体" w:cs="Times New Roman"/>
                <w:color w:val="auto"/>
                <w:spacing w:val="-8"/>
                <w:kern w:val="0"/>
                <w:sz w:val="18"/>
                <w:szCs w:val="18"/>
              </w:rPr>
              <w:t>)</w:t>
            </w:r>
          </w:p>
        </w:tc>
        <w:tc>
          <w:tcPr>
            <w:tcW w:w="3972" w:type="dxa"/>
            <w:gridSpan w:val="4"/>
            <w:tcBorders>
              <w:left w:val="single" w:color="FF0000" w:sz="4" w:space="0"/>
            </w:tcBorders>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pacing w:val="-8"/>
                <w:kern w:val="0"/>
                <w:sz w:val="18"/>
                <w:szCs w:val="18"/>
              </w:rPr>
            </w:pPr>
            <w:r>
              <w:rPr>
                <w:rFonts w:hint="default" w:ascii="Times New Roman" w:hAnsi="Times New Roman" w:eastAsia="宋体" w:cs="Times New Roman"/>
                <w:color w:val="auto"/>
                <w:spacing w:val="-8"/>
                <w:kern w:val="0"/>
                <w:sz w:val="18"/>
                <w:szCs w:val="18"/>
              </w:rPr>
              <w:t>工程措施</w:t>
            </w:r>
          </w:p>
        </w:tc>
        <w:tc>
          <w:tcPr>
            <w:tcW w:w="1013" w:type="dxa"/>
            <w:tcBorders>
              <w:left w:val="single" w:color="FF0000" w:sz="4" w:space="0"/>
            </w:tcBorders>
            <w:vAlign w:val="center"/>
          </w:tcPr>
          <w:p>
            <w:pPr>
              <w:keepNext w:val="0"/>
              <w:keepLines w:val="0"/>
              <w:pageBreakBefore w:val="0"/>
              <w:widowControl/>
              <w:kinsoku/>
              <w:wordWrap/>
              <w:overflowPunct/>
              <w:topLinePunct w:val="0"/>
              <w:autoSpaceDE/>
              <w:autoSpaceDN/>
              <w:bidi w:val="0"/>
              <w:adjustRightInd/>
              <w:snapToGrid w:val="0"/>
              <w:spacing w:line="240" w:lineRule="auto"/>
              <w:ind w:left="-105" w:leftChars="-50" w:right="-105" w:rightChars="-50"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kern w:val="0"/>
                <w:sz w:val="18"/>
                <w:szCs w:val="18"/>
              </w:rPr>
              <w:t>生物措施</w:t>
            </w:r>
          </w:p>
        </w:tc>
        <w:tc>
          <w:tcPr>
            <w:tcW w:w="1029" w:type="dxa"/>
            <w:tcBorders>
              <w:left w:val="single" w:color="FF0000" w:sz="4" w:space="0"/>
            </w:tcBorders>
            <w:vAlign w:val="center"/>
          </w:tcPr>
          <w:p>
            <w:pPr>
              <w:keepNext w:val="0"/>
              <w:keepLines w:val="0"/>
              <w:pageBreakBefore w:val="0"/>
              <w:widowControl/>
              <w:kinsoku/>
              <w:wordWrap/>
              <w:overflowPunct/>
              <w:topLinePunct w:val="0"/>
              <w:autoSpaceDE/>
              <w:autoSpaceDN/>
              <w:bidi w:val="0"/>
              <w:adjustRightInd/>
              <w:snapToGrid w:val="0"/>
              <w:spacing w:line="240" w:lineRule="auto"/>
              <w:ind w:left="-105" w:leftChars="-50" w:right="-105" w:rightChars="-50"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kern w:val="0"/>
                <w:sz w:val="18"/>
                <w:szCs w:val="18"/>
              </w:rPr>
              <w:t>管护措施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33" w:type="dxa"/>
            <w:vMerge w:val="continue"/>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pacing w:val="-8"/>
                <w:kern w:val="0"/>
                <w:sz w:val="18"/>
                <w:szCs w:val="18"/>
              </w:rPr>
            </w:pPr>
          </w:p>
        </w:tc>
        <w:tc>
          <w:tcPr>
            <w:tcW w:w="1100" w:type="dxa"/>
            <w:vMerge w:val="continue"/>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pacing w:val="-8"/>
                <w:kern w:val="0"/>
                <w:sz w:val="18"/>
                <w:szCs w:val="18"/>
              </w:rPr>
            </w:pPr>
          </w:p>
        </w:tc>
        <w:tc>
          <w:tcPr>
            <w:tcW w:w="963" w:type="dxa"/>
            <w:tcBorders>
              <w:left w:val="single" w:color="FF0000" w:sz="4" w:space="0"/>
            </w:tcBorders>
            <w:vAlign w:val="center"/>
          </w:tcPr>
          <w:p>
            <w:pPr>
              <w:keepNext w:val="0"/>
              <w:keepLines w:val="0"/>
              <w:pageBreakBefore w:val="0"/>
              <w:widowControl/>
              <w:kinsoku/>
              <w:wordWrap/>
              <w:overflowPunct/>
              <w:topLinePunct w:val="0"/>
              <w:autoSpaceDE/>
              <w:autoSpaceDN/>
              <w:bidi w:val="0"/>
              <w:adjustRightInd/>
              <w:snapToGrid w:val="0"/>
              <w:spacing w:line="240" w:lineRule="auto"/>
              <w:ind w:right="-105" w:rightChars="-50" w:firstLine="0" w:firstLineChars="0"/>
              <w:jc w:val="center"/>
              <w:textAlignment w:val="auto"/>
              <w:rPr>
                <w:rFonts w:hint="default" w:ascii="Times New Roman" w:hAnsi="Times New Roman" w:eastAsia="宋体" w:cs="Times New Roman"/>
                <w:color w:val="auto"/>
                <w:spacing w:val="-8"/>
                <w:kern w:val="0"/>
                <w:sz w:val="18"/>
                <w:szCs w:val="18"/>
              </w:rPr>
            </w:pPr>
            <w:r>
              <w:rPr>
                <w:rFonts w:hint="default" w:ascii="Times New Roman" w:hAnsi="Times New Roman" w:eastAsia="宋体" w:cs="Times New Roman"/>
                <w:color w:val="auto"/>
                <w:spacing w:val="-8"/>
                <w:kern w:val="0"/>
                <w:sz w:val="18"/>
                <w:szCs w:val="18"/>
              </w:rPr>
              <w:t>网围栏</w:t>
            </w:r>
          </w:p>
        </w:tc>
        <w:tc>
          <w:tcPr>
            <w:tcW w:w="981" w:type="dxa"/>
            <w:tcBorders>
              <w:left w:val="single" w:color="FF0000" w:sz="4" w:space="0"/>
            </w:tcBorders>
            <w:vAlign w:val="center"/>
          </w:tcPr>
          <w:p>
            <w:pPr>
              <w:keepNext w:val="0"/>
              <w:keepLines w:val="0"/>
              <w:pageBreakBefore w:val="0"/>
              <w:widowControl/>
              <w:kinsoku/>
              <w:wordWrap/>
              <w:overflowPunct/>
              <w:topLinePunct w:val="0"/>
              <w:autoSpaceDE/>
              <w:autoSpaceDN/>
              <w:bidi w:val="0"/>
              <w:adjustRightInd/>
              <w:snapToGrid w:val="0"/>
              <w:spacing w:line="240" w:lineRule="auto"/>
              <w:ind w:left="-105" w:leftChars="-50" w:right="-105" w:rightChars="-50" w:firstLine="0" w:firstLineChars="0"/>
              <w:jc w:val="center"/>
              <w:textAlignment w:val="auto"/>
              <w:rPr>
                <w:rFonts w:hint="default" w:ascii="Times New Roman" w:hAnsi="Times New Roman" w:eastAsia="宋体" w:cs="Times New Roman"/>
                <w:color w:val="auto"/>
                <w:spacing w:val="-8"/>
                <w:kern w:val="0"/>
                <w:sz w:val="18"/>
                <w:szCs w:val="18"/>
              </w:rPr>
            </w:pPr>
            <w:r>
              <w:rPr>
                <w:rFonts w:hint="default" w:ascii="Times New Roman" w:hAnsi="Times New Roman" w:eastAsia="宋体" w:cs="Times New Roman"/>
                <w:color w:val="auto"/>
                <w:spacing w:val="-8"/>
                <w:kern w:val="0"/>
                <w:sz w:val="18"/>
                <w:szCs w:val="18"/>
              </w:rPr>
              <w:t>警示牌</w:t>
            </w:r>
          </w:p>
        </w:tc>
        <w:tc>
          <w:tcPr>
            <w:tcW w:w="944" w:type="dxa"/>
            <w:tcBorders>
              <w:left w:val="single" w:color="FF0000" w:sz="4" w:space="0"/>
            </w:tcBorders>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pacing w:val="-8"/>
                <w:kern w:val="0"/>
                <w:sz w:val="18"/>
                <w:szCs w:val="18"/>
              </w:rPr>
            </w:pPr>
            <w:r>
              <w:rPr>
                <w:rFonts w:hint="default" w:ascii="Times New Roman" w:hAnsi="Times New Roman" w:eastAsia="宋体" w:cs="Times New Roman"/>
                <w:color w:val="auto"/>
                <w:spacing w:val="-8"/>
                <w:kern w:val="0"/>
                <w:sz w:val="18"/>
                <w:szCs w:val="18"/>
              </w:rPr>
              <w:t>表土剥离</w:t>
            </w:r>
          </w:p>
        </w:tc>
        <w:tc>
          <w:tcPr>
            <w:tcW w:w="1084"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spacing w:val="-8"/>
                <w:kern w:val="0"/>
                <w:sz w:val="18"/>
                <w:szCs w:val="18"/>
              </w:rPr>
              <w:t>危岩体处理</w:t>
            </w:r>
          </w:p>
        </w:tc>
        <w:tc>
          <w:tcPr>
            <w:tcW w:w="1013"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pacing w:val="-8"/>
                <w:kern w:val="0"/>
                <w:sz w:val="18"/>
                <w:szCs w:val="18"/>
              </w:rPr>
            </w:pPr>
            <w:r>
              <w:rPr>
                <w:rFonts w:hint="default" w:ascii="Times New Roman" w:hAnsi="Times New Roman" w:eastAsia="宋体" w:cs="Times New Roman"/>
                <w:color w:val="auto"/>
                <w:spacing w:val="-8"/>
                <w:kern w:val="0"/>
                <w:sz w:val="18"/>
                <w:szCs w:val="18"/>
              </w:rPr>
              <w:t>撒播牧草</w:t>
            </w:r>
          </w:p>
        </w:tc>
        <w:tc>
          <w:tcPr>
            <w:tcW w:w="1029"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pacing w:val="-8"/>
                <w:kern w:val="0"/>
                <w:sz w:val="18"/>
                <w:szCs w:val="18"/>
              </w:rPr>
            </w:pPr>
            <w:r>
              <w:rPr>
                <w:rFonts w:hint="default" w:ascii="Times New Roman" w:hAnsi="Times New Roman" w:eastAsia="宋体" w:cs="Times New Roman"/>
                <w:color w:val="auto"/>
                <w:spacing w:val="-8"/>
                <w:kern w:val="0"/>
                <w:sz w:val="18"/>
                <w:szCs w:val="18"/>
              </w:rPr>
              <w:t>植被管护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33" w:type="dxa"/>
            <w:vMerge w:val="continue"/>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pacing w:val="-8"/>
                <w:kern w:val="0"/>
                <w:sz w:val="18"/>
                <w:szCs w:val="18"/>
              </w:rPr>
            </w:pPr>
          </w:p>
        </w:tc>
        <w:tc>
          <w:tcPr>
            <w:tcW w:w="1100" w:type="dxa"/>
            <w:vMerge w:val="continue"/>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pacing w:val="-8"/>
                <w:kern w:val="0"/>
                <w:sz w:val="18"/>
                <w:szCs w:val="18"/>
              </w:rPr>
            </w:pPr>
          </w:p>
        </w:tc>
        <w:tc>
          <w:tcPr>
            <w:tcW w:w="963"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pacing w:val="-8"/>
                <w:kern w:val="0"/>
                <w:sz w:val="18"/>
                <w:szCs w:val="18"/>
              </w:rPr>
            </w:pPr>
            <w:r>
              <w:rPr>
                <w:rFonts w:hint="default" w:ascii="Times New Roman" w:hAnsi="Times New Roman" w:eastAsia="宋体" w:cs="Times New Roman"/>
                <w:color w:val="auto"/>
                <w:spacing w:val="-8"/>
                <w:kern w:val="0"/>
                <w:sz w:val="18"/>
                <w:szCs w:val="18"/>
              </w:rPr>
              <w:t>m</w:t>
            </w:r>
          </w:p>
        </w:tc>
        <w:tc>
          <w:tcPr>
            <w:tcW w:w="981"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pacing w:val="-8"/>
                <w:kern w:val="0"/>
                <w:sz w:val="18"/>
                <w:szCs w:val="18"/>
              </w:rPr>
            </w:pPr>
            <w:r>
              <w:rPr>
                <w:rFonts w:hint="default" w:ascii="Times New Roman" w:hAnsi="Times New Roman" w:eastAsia="宋体" w:cs="Times New Roman"/>
                <w:color w:val="auto"/>
                <w:spacing w:val="-8"/>
                <w:kern w:val="0"/>
                <w:sz w:val="18"/>
                <w:szCs w:val="18"/>
              </w:rPr>
              <w:t>块</w:t>
            </w:r>
          </w:p>
        </w:tc>
        <w:tc>
          <w:tcPr>
            <w:tcW w:w="944"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pacing w:val="-4"/>
                <w:kern w:val="0"/>
                <w:sz w:val="18"/>
                <w:szCs w:val="18"/>
              </w:rPr>
            </w:pPr>
            <w:r>
              <w:rPr>
                <w:rFonts w:hint="default" w:ascii="Times New Roman" w:hAnsi="Times New Roman" w:eastAsia="宋体" w:cs="Times New Roman"/>
                <w:color w:val="auto"/>
                <w:spacing w:val="-4"/>
                <w:kern w:val="0"/>
                <w:sz w:val="18"/>
                <w:szCs w:val="18"/>
              </w:rPr>
              <w:t>m</w:t>
            </w:r>
            <w:r>
              <w:rPr>
                <w:rFonts w:hint="default" w:ascii="Times New Roman" w:hAnsi="Times New Roman" w:eastAsia="宋体" w:cs="Times New Roman"/>
                <w:color w:val="auto"/>
                <w:spacing w:val="-4"/>
                <w:kern w:val="0"/>
                <w:sz w:val="18"/>
                <w:szCs w:val="18"/>
                <w:vertAlign w:val="superscript"/>
              </w:rPr>
              <w:t>3</w:t>
            </w:r>
          </w:p>
        </w:tc>
        <w:tc>
          <w:tcPr>
            <w:tcW w:w="1084"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pacing w:val="-4"/>
                <w:kern w:val="0"/>
                <w:sz w:val="18"/>
                <w:szCs w:val="18"/>
              </w:rPr>
            </w:pPr>
            <w:r>
              <w:rPr>
                <w:rFonts w:hint="default" w:ascii="Times New Roman" w:hAnsi="Times New Roman" w:eastAsia="宋体" w:cs="Times New Roman"/>
                <w:color w:val="auto"/>
                <w:spacing w:val="-4"/>
                <w:kern w:val="0"/>
                <w:sz w:val="18"/>
                <w:szCs w:val="18"/>
              </w:rPr>
              <w:t>m</w:t>
            </w:r>
            <w:r>
              <w:rPr>
                <w:rFonts w:hint="default" w:ascii="Times New Roman" w:hAnsi="Times New Roman" w:eastAsia="宋体" w:cs="Times New Roman"/>
                <w:color w:val="auto"/>
                <w:spacing w:val="-4"/>
                <w:kern w:val="0"/>
                <w:sz w:val="18"/>
                <w:szCs w:val="18"/>
                <w:vertAlign w:val="superscript"/>
              </w:rPr>
              <w:t>3</w:t>
            </w:r>
          </w:p>
        </w:tc>
        <w:tc>
          <w:tcPr>
            <w:tcW w:w="1013"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pacing w:val="-4"/>
                <w:kern w:val="0"/>
                <w:sz w:val="18"/>
                <w:szCs w:val="18"/>
              </w:rPr>
            </w:pPr>
            <w:r>
              <w:rPr>
                <w:rFonts w:hint="default" w:ascii="Times New Roman" w:hAnsi="Times New Roman" w:eastAsia="宋体" w:cs="Times New Roman"/>
                <w:color w:val="auto"/>
                <w:spacing w:val="-4"/>
                <w:kern w:val="0"/>
                <w:sz w:val="18"/>
                <w:szCs w:val="18"/>
              </w:rPr>
              <w:t>m</w:t>
            </w:r>
            <w:r>
              <w:rPr>
                <w:rFonts w:hint="default" w:ascii="Times New Roman" w:hAnsi="Times New Roman" w:eastAsia="宋体" w:cs="Times New Roman"/>
                <w:color w:val="auto"/>
                <w:spacing w:val="-4"/>
                <w:kern w:val="0"/>
                <w:sz w:val="18"/>
                <w:szCs w:val="18"/>
                <w:vertAlign w:val="superscript"/>
              </w:rPr>
              <w:t>2</w:t>
            </w:r>
          </w:p>
        </w:tc>
        <w:tc>
          <w:tcPr>
            <w:tcW w:w="1029"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pacing w:val="-4"/>
                <w:kern w:val="0"/>
                <w:sz w:val="18"/>
                <w:szCs w:val="18"/>
              </w:rPr>
            </w:pPr>
            <w:r>
              <w:rPr>
                <w:rFonts w:hint="default" w:ascii="Times New Roman" w:hAnsi="Times New Roman" w:eastAsia="宋体" w:cs="Times New Roman"/>
                <w:color w:val="auto"/>
                <w:spacing w:val="-4"/>
                <w:kern w:val="0"/>
                <w:sz w:val="18"/>
                <w:szCs w:val="18"/>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33"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pacing w:val="-8"/>
                <w:kern w:val="0"/>
                <w:sz w:val="18"/>
                <w:szCs w:val="18"/>
              </w:rPr>
            </w:pPr>
            <w:r>
              <w:rPr>
                <w:rFonts w:hint="default" w:ascii="Times New Roman" w:hAnsi="Times New Roman" w:eastAsia="宋体" w:cs="Times New Roman"/>
                <w:color w:val="auto"/>
                <w:spacing w:val="-8"/>
                <w:kern w:val="0"/>
                <w:sz w:val="18"/>
                <w:szCs w:val="18"/>
              </w:rPr>
              <w:t>露天采场</w:t>
            </w:r>
          </w:p>
        </w:tc>
        <w:tc>
          <w:tcPr>
            <w:tcW w:w="1100"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pacing w:val="-8"/>
                <w:kern w:val="0"/>
                <w:sz w:val="18"/>
                <w:szCs w:val="18"/>
              </w:rPr>
            </w:pPr>
            <w:r>
              <w:rPr>
                <w:rFonts w:hint="default" w:ascii="Times New Roman" w:hAnsi="Times New Roman" w:eastAsia="宋体" w:cs="Times New Roman"/>
                <w:color w:val="auto"/>
                <w:spacing w:val="-8"/>
                <w:kern w:val="0"/>
                <w:sz w:val="18"/>
                <w:szCs w:val="18"/>
              </w:rPr>
              <w:t>11435</w:t>
            </w:r>
          </w:p>
        </w:tc>
        <w:tc>
          <w:tcPr>
            <w:tcW w:w="963"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pacing w:val="-8"/>
                <w:kern w:val="0"/>
                <w:sz w:val="18"/>
                <w:szCs w:val="18"/>
              </w:rPr>
            </w:pPr>
            <w:r>
              <w:rPr>
                <w:rFonts w:hint="default" w:ascii="Times New Roman" w:hAnsi="Times New Roman" w:eastAsia="宋体" w:cs="Times New Roman"/>
                <w:color w:val="auto"/>
                <w:spacing w:val="-8"/>
                <w:kern w:val="0"/>
                <w:sz w:val="18"/>
                <w:szCs w:val="18"/>
              </w:rPr>
              <w:t>460</w:t>
            </w:r>
          </w:p>
        </w:tc>
        <w:tc>
          <w:tcPr>
            <w:tcW w:w="981"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pacing w:val="-8"/>
                <w:kern w:val="0"/>
                <w:sz w:val="18"/>
                <w:szCs w:val="18"/>
              </w:rPr>
            </w:pPr>
            <w:r>
              <w:rPr>
                <w:rFonts w:hint="default" w:ascii="Times New Roman" w:hAnsi="Times New Roman" w:eastAsia="宋体" w:cs="Times New Roman"/>
                <w:color w:val="auto"/>
                <w:spacing w:val="-8"/>
                <w:kern w:val="0"/>
                <w:sz w:val="18"/>
                <w:szCs w:val="18"/>
              </w:rPr>
              <w:t>5</w:t>
            </w:r>
          </w:p>
        </w:tc>
        <w:tc>
          <w:tcPr>
            <w:tcW w:w="944"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kern w:val="0"/>
                <w:sz w:val="18"/>
                <w:szCs w:val="18"/>
              </w:rPr>
              <w:t>4659</w:t>
            </w:r>
          </w:p>
        </w:tc>
        <w:tc>
          <w:tcPr>
            <w:tcW w:w="1084"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2216</w:t>
            </w:r>
          </w:p>
        </w:tc>
        <w:tc>
          <w:tcPr>
            <w:tcW w:w="1013"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z w:val="18"/>
                <w:szCs w:val="18"/>
              </w:rPr>
            </w:pPr>
          </w:p>
        </w:tc>
        <w:tc>
          <w:tcPr>
            <w:tcW w:w="1029"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33"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pacing w:val="-8"/>
                <w:kern w:val="0"/>
                <w:sz w:val="18"/>
                <w:szCs w:val="18"/>
              </w:rPr>
            </w:pPr>
            <w:r>
              <w:rPr>
                <w:rFonts w:hint="default" w:ascii="Times New Roman" w:hAnsi="Times New Roman" w:eastAsia="宋体" w:cs="Times New Roman"/>
                <w:color w:val="auto"/>
                <w:spacing w:val="-8"/>
                <w:kern w:val="0"/>
                <w:sz w:val="18"/>
                <w:szCs w:val="18"/>
              </w:rPr>
              <w:t>排渣场</w:t>
            </w:r>
          </w:p>
        </w:tc>
        <w:tc>
          <w:tcPr>
            <w:tcW w:w="1100"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pacing w:val="-8"/>
                <w:kern w:val="0"/>
                <w:sz w:val="18"/>
                <w:szCs w:val="18"/>
              </w:rPr>
            </w:pPr>
            <w:r>
              <w:rPr>
                <w:rFonts w:hint="default" w:ascii="Times New Roman" w:hAnsi="Times New Roman" w:eastAsia="宋体" w:cs="Times New Roman"/>
                <w:color w:val="auto"/>
                <w:spacing w:val="-8"/>
                <w:kern w:val="0"/>
                <w:sz w:val="18"/>
                <w:szCs w:val="18"/>
              </w:rPr>
              <w:t>855</w:t>
            </w:r>
          </w:p>
        </w:tc>
        <w:tc>
          <w:tcPr>
            <w:tcW w:w="963"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pacing w:val="-8"/>
                <w:kern w:val="0"/>
                <w:sz w:val="18"/>
                <w:szCs w:val="18"/>
              </w:rPr>
            </w:pPr>
          </w:p>
        </w:tc>
        <w:tc>
          <w:tcPr>
            <w:tcW w:w="981"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pacing w:val="-8"/>
                <w:kern w:val="0"/>
                <w:sz w:val="18"/>
                <w:szCs w:val="18"/>
              </w:rPr>
            </w:pPr>
          </w:p>
        </w:tc>
        <w:tc>
          <w:tcPr>
            <w:tcW w:w="944"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kern w:val="0"/>
                <w:sz w:val="18"/>
                <w:szCs w:val="18"/>
              </w:rPr>
              <w:t>257</w:t>
            </w:r>
          </w:p>
        </w:tc>
        <w:tc>
          <w:tcPr>
            <w:tcW w:w="1084"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z w:val="18"/>
                <w:szCs w:val="18"/>
              </w:rPr>
            </w:pPr>
          </w:p>
        </w:tc>
        <w:tc>
          <w:tcPr>
            <w:tcW w:w="1013"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z w:val="18"/>
                <w:szCs w:val="18"/>
              </w:rPr>
            </w:pPr>
          </w:p>
        </w:tc>
        <w:tc>
          <w:tcPr>
            <w:tcW w:w="1029"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33"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pacing w:val="-8"/>
                <w:kern w:val="0"/>
                <w:sz w:val="18"/>
                <w:szCs w:val="18"/>
              </w:rPr>
            </w:pPr>
            <w:r>
              <w:rPr>
                <w:rFonts w:hint="default" w:ascii="Times New Roman" w:hAnsi="Times New Roman" w:eastAsia="宋体" w:cs="Times New Roman"/>
                <w:color w:val="auto"/>
                <w:spacing w:val="-8"/>
                <w:kern w:val="0"/>
                <w:sz w:val="18"/>
                <w:szCs w:val="18"/>
              </w:rPr>
              <w:t>采矿工业场地</w:t>
            </w:r>
          </w:p>
        </w:tc>
        <w:tc>
          <w:tcPr>
            <w:tcW w:w="1100"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pacing w:val="-8"/>
                <w:kern w:val="0"/>
                <w:sz w:val="18"/>
                <w:szCs w:val="18"/>
              </w:rPr>
            </w:pPr>
            <w:r>
              <w:rPr>
                <w:rFonts w:hint="default" w:ascii="Times New Roman" w:hAnsi="Times New Roman" w:eastAsia="宋体" w:cs="Times New Roman"/>
                <w:color w:val="auto"/>
                <w:spacing w:val="-8"/>
                <w:kern w:val="0"/>
                <w:sz w:val="18"/>
                <w:szCs w:val="18"/>
              </w:rPr>
              <w:t>3500</w:t>
            </w:r>
          </w:p>
        </w:tc>
        <w:tc>
          <w:tcPr>
            <w:tcW w:w="963"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pacing w:val="-8"/>
                <w:kern w:val="0"/>
                <w:sz w:val="18"/>
                <w:szCs w:val="18"/>
              </w:rPr>
            </w:pPr>
          </w:p>
        </w:tc>
        <w:tc>
          <w:tcPr>
            <w:tcW w:w="981"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pacing w:val="-8"/>
                <w:kern w:val="0"/>
                <w:sz w:val="18"/>
                <w:szCs w:val="18"/>
              </w:rPr>
            </w:pPr>
          </w:p>
        </w:tc>
        <w:tc>
          <w:tcPr>
            <w:tcW w:w="944"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kern w:val="0"/>
                <w:sz w:val="18"/>
                <w:szCs w:val="18"/>
              </w:rPr>
              <w:t>1050</w:t>
            </w:r>
          </w:p>
        </w:tc>
        <w:tc>
          <w:tcPr>
            <w:tcW w:w="1084"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z w:val="18"/>
                <w:szCs w:val="18"/>
              </w:rPr>
            </w:pPr>
          </w:p>
        </w:tc>
        <w:tc>
          <w:tcPr>
            <w:tcW w:w="1013"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18"/>
                <w:szCs w:val="18"/>
              </w:rPr>
            </w:pPr>
          </w:p>
        </w:tc>
        <w:tc>
          <w:tcPr>
            <w:tcW w:w="1029"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33"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pacing w:val="-8"/>
                <w:kern w:val="0"/>
                <w:sz w:val="18"/>
                <w:szCs w:val="18"/>
              </w:rPr>
            </w:pPr>
            <w:r>
              <w:rPr>
                <w:rFonts w:hint="default" w:ascii="Times New Roman" w:hAnsi="Times New Roman" w:eastAsia="宋体" w:cs="Times New Roman"/>
                <w:color w:val="auto"/>
                <w:spacing w:val="-8"/>
                <w:kern w:val="0"/>
                <w:sz w:val="18"/>
                <w:szCs w:val="18"/>
              </w:rPr>
              <w:t>表土存放场</w:t>
            </w:r>
          </w:p>
        </w:tc>
        <w:tc>
          <w:tcPr>
            <w:tcW w:w="1100"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pacing w:val="-8"/>
                <w:kern w:val="0"/>
                <w:sz w:val="18"/>
                <w:szCs w:val="18"/>
              </w:rPr>
            </w:pPr>
            <w:r>
              <w:rPr>
                <w:rFonts w:hint="default" w:ascii="Times New Roman" w:hAnsi="Times New Roman" w:eastAsia="宋体" w:cs="Times New Roman"/>
                <w:color w:val="auto"/>
                <w:spacing w:val="-8"/>
                <w:kern w:val="0"/>
                <w:sz w:val="18"/>
                <w:szCs w:val="18"/>
              </w:rPr>
              <w:t>300</w:t>
            </w:r>
          </w:p>
        </w:tc>
        <w:tc>
          <w:tcPr>
            <w:tcW w:w="963"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pacing w:val="-8"/>
                <w:kern w:val="0"/>
                <w:sz w:val="18"/>
                <w:szCs w:val="18"/>
              </w:rPr>
            </w:pPr>
          </w:p>
        </w:tc>
        <w:tc>
          <w:tcPr>
            <w:tcW w:w="981"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pacing w:val="-8"/>
                <w:kern w:val="0"/>
                <w:sz w:val="18"/>
                <w:szCs w:val="18"/>
              </w:rPr>
            </w:pPr>
          </w:p>
        </w:tc>
        <w:tc>
          <w:tcPr>
            <w:tcW w:w="944"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18"/>
                <w:szCs w:val="18"/>
              </w:rPr>
            </w:pPr>
          </w:p>
        </w:tc>
        <w:tc>
          <w:tcPr>
            <w:tcW w:w="1084"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z w:val="18"/>
                <w:szCs w:val="18"/>
              </w:rPr>
            </w:pPr>
          </w:p>
        </w:tc>
        <w:tc>
          <w:tcPr>
            <w:tcW w:w="1013"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kern w:val="0"/>
                <w:sz w:val="18"/>
                <w:szCs w:val="18"/>
              </w:rPr>
              <w:t>300</w:t>
            </w:r>
          </w:p>
        </w:tc>
        <w:tc>
          <w:tcPr>
            <w:tcW w:w="1029"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33"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pacing w:val="-8"/>
                <w:kern w:val="0"/>
                <w:sz w:val="18"/>
                <w:szCs w:val="18"/>
              </w:rPr>
            </w:pPr>
            <w:r>
              <w:rPr>
                <w:rFonts w:hint="default" w:ascii="Times New Roman" w:hAnsi="Times New Roman" w:eastAsia="宋体" w:cs="Times New Roman"/>
                <w:color w:val="auto"/>
                <w:spacing w:val="-8"/>
                <w:kern w:val="0"/>
                <w:sz w:val="18"/>
                <w:szCs w:val="18"/>
              </w:rPr>
              <w:t>办公生活区</w:t>
            </w:r>
          </w:p>
        </w:tc>
        <w:tc>
          <w:tcPr>
            <w:tcW w:w="1100"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pacing w:val="-8"/>
                <w:kern w:val="0"/>
                <w:sz w:val="18"/>
                <w:szCs w:val="18"/>
              </w:rPr>
            </w:pPr>
            <w:r>
              <w:rPr>
                <w:rFonts w:hint="default" w:ascii="Times New Roman" w:hAnsi="Times New Roman" w:eastAsia="宋体" w:cs="Times New Roman"/>
                <w:color w:val="auto"/>
                <w:spacing w:val="-8"/>
                <w:kern w:val="0"/>
                <w:sz w:val="18"/>
                <w:szCs w:val="18"/>
              </w:rPr>
              <w:t>315</w:t>
            </w:r>
          </w:p>
        </w:tc>
        <w:tc>
          <w:tcPr>
            <w:tcW w:w="963"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pacing w:val="-8"/>
                <w:kern w:val="0"/>
                <w:sz w:val="18"/>
                <w:szCs w:val="18"/>
              </w:rPr>
            </w:pPr>
          </w:p>
        </w:tc>
        <w:tc>
          <w:tcPr>
            <w:tcW w:w="981"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pacing w:val="-8"/>
                <w:kern w:val="0"/>
                <w:sz w:val="18"/>
                <w:szCs w:val="18"/>
              </w:rPr>
            </w:pPr>
          </w:p>
        </w:tc>
        <w:tc>
          <w:tcPr>
            <w:tcW w:w="944"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kern w:val="0"/>
                <w:sz w:val="18"/>
                <w:szCs w:val="18"/>
              </w:rPr>
              <w:t>95</w:t>
            </w:r>
          </w:p>
        </w:tc>
        <w:tc>
          <w:tcPr>
            <w:tcW w:w="1084"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z w:val="18"/>
                <w:szCs w:val="18"/>
              </w:rPr>
            </w:pPr>
          </w:p>
        </w:tc>
        <w:tc>
          <w:tcPr>
            <w:tcW w:w="1013"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18"/>
                <w:szCs w:val="18"/>
              </w:rPr>
            </w:pPr>
          </w:p>
        </w:tc>
        <w:tc>
          <w:tcPr>
            <w:tcW w:w="1029"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33"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bCs/>
                <w:color w:val="auto"/>
                <w:spacing w:val="-8"/>
                <w:kern w:val="0"/>
                <w:sz w:val="18"/>
                <w:szCs w:val="18"/>
              </w:rPr>
            </w:pPr>
            <w:r>
              <w:rPr>
                <w:rFonts w:hint="default" w:ascii="Times New Roman" w:hAnsi="Times New Roman" w:eastAsia="宋体" w:cs="Times New Roman"/>
                <w:b/>
                <w:bCs/>
                <w:color w:val="auto"/>
                <w:spacing w:val="-8"/>
                <w:kern w:val="0"/>
                <w:sz w:val="18"/>
                <w:szCs w:val="18"/>
              </w:rPr>
              <w:t>合   计</w:t>
            </w:r>
          </w:p>
        </w:tc>
        <w:tc>
          <w:tcPr>
            <w:tcW w:w="1100"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bCs/>
                <w:color w:val="auto"/>
                <w:spacing w:val="-8"/>
                <w:kern w:val="0"/>
                <w:sz w:val="18"/>
                <w:szCs w:val="18"/>
              </w:rPr>
            </w:pPr>
            <w:r>
              <w:rPr>
                <w:rFonts w:hint="default" w:ascii="Times New Roman" w:hAnsi="Times New Roman" w:eastAsia="宋体" w:cs="Times New Roman"/>
                <w:b/>
                <w:bCs/>
                <w:color w:val="auto"/>
                <w:spacing w:val="-8"/>
                <w:kern w:val="0"/>
                <w:sz w:val="18"/>
                <w:szCs w:val="18"/>
              </w:rPr>
              <w:t>16405</w:t>
            </w:r>
          </w:p>
        </w:tc>
        <w:tc>
          <w:tcPr>
            <w:tcW w:w="963"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bCs/>
                <w:color w:val="auto"/>
                <w:spacing w:val="-8"/>
                <w:kern w:val="0"/>
                <w:sz w:val="18"/>
                <w:szCs w:val="18"/>
              </w:rPr>
            </w:pPr>
            <w:r>
              <w:rPr>
                <w:rFonts w:hint="default" w:ascii="Times New Roman" w:hAnsi="Times New Roman" w:eastAsia="宋体" w:cs="Times New Roman"/>
                <w:b/>
                <w:bCs/>
                <w:color w:val="auto"/>
                <w:spacing w:val="-8"/>
                <w:kern w:val="0"/>
                <w:sz w:val="18"/>
                <w:szCs w:val="18"/>
              </w:rPr>
              <w:t>460</w:t>
            </w:r>
          </w:p>
        </w:tc>
        <w:tc>
          <w:tcPr>
            <w:tcW w:w="981"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bCs/>
                <w:color w:val="auto"/>
                <w:spacing w:val="-8"/>
                <w:kern w:val="0"/>
                <w:sz w:val="18"/>
                <w:szCs w:val="18"/>
              </w:rPr>
            </w:pPr>
            <w:r>
              <w:rPr>
                <w:rFonts w:hint="default" w:ascii="Times New Roman" w:hAnsi="Times New Roman" w:eastAsia="宋体" w:cs="Times New Roman"/>
                <w:b/>
                <w:bCs/>
                <w:color w:val="auto"/>
                <w:spacing w:val="-8"/>
                <w:kern w:val="0"/>
                <w:sz w:val="18"/>
                <w:szCs w:val="18"/>
              </w:rPr>
              <w:t>5</w:t>
            </w:r>
          </w:p>
        </w:tc>
        <w:tc>
          <w:tcPr>
            <w:tcW w:w="944"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bCs/>
                <w:color w:val="auto"/>
                <w:kern w:val="0"/>
                <w:sz w:val="18"/>
                <w:szCs w:val="18"/>
              </w:rPr>
            </w:pPr>
            <w:r>
              <w:rPr>
                <w:rFonts w:hint="default" w:ascii="Times New Roman" w:hAnsi="Times New Roman" w:eastAsia="宋体" w:cs="Times New Roman"/>
                <w:b/>
                <w:bCs/>
                <w:color w:val="auto"/>
                <w:kern w:val="0"/>
                <w:sz w:val="18"/>
                <w:szCs w:val="18"/>
              </w:rPr>
              <w:t>6061</w:t>
            </w:r>
          </w:p>
        </w:tc>
        <w:tc>
          <w:tcPr>
            <w:tcW w:w="1084"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bCs/>
                <w:color w:val="auto"/>
                <w:kern w:val="0"/>
                <w:sz w:val="18"/>
                <w:szCs w:val="18"/>
              </w:rPr>
            </w:pPr>
            <w:r>
              <w:rPr>
                <w:rFonts w:hint="default" w:ascii="Times New Roman" w:hAnsi="Times New Roman" w:eastAsia="宋体" w:cs="Times New Roman"/>
                <w:b/>
                <w:bCs/>
                <w:color w:val="auto"/>
                <w:kern w:val="0"/>
                <w:sz w:val="18"/>
                <w:szCs w:val="18"/>
              </w:rPr>
              <w:t>2216</w:t>
            </w:r>
          </w:p>
        </w:tc>
        <w:tc>
          <w:tcPr>
            <w:tcW w:w="1013"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bCs/>
                <w:color w:val="auto"/>
                <w:kern w:val="0"/>
                <w:sz w:val="18"/>
                <w:szCs w:val="18"/>
              </w:rPr>
            </w:pPr>
            <w:r>
              <w:rPr>
                <w:rFonts w:hint="default" w:ascii="Times New Roman" w:hAnsi="Times New Roman" w:eastAsia="宋体" w:cs="Times New Roman"/>
                <w:b/>
                <w:bCs/>
                <w:color w:val="auto"/>
                <w:kern w:val="0"/>
                <w:sz w:val="18"/>
                <w:szCs w:val="18"/>
              </w:rPr>
              <w:t>300</w:t>
            </w:r>
          </w:p>
        </w:tc>
        <w:tc>
          <w:tcPr>
            <w:tcW w:w="1029"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bCs/>
                <w:color w:val="auto"/>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347" w:type="dxa"/>
            <w:gridSpan w:val="8"/>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kern w:val="0"/>
                <w:sz w:val="18"/>
                <w:szCs w:val="18"/>
              </w:rPr>
              <w:t>首期治理费用为21.55万元。</w:t>
            </w:r>
          </w:p>
        </w:tc>
      </w:tr>
    </w:tbl>
    <w:p>
      <w:pPr>
        <w:keepNext w:val="0"/>
        <w:keepLines w:val="0"/>
        <w:pageBreakBefore w:val="0"/>
        <w:widowControl/>
        <w:kinsoku/>
        <w:wordWrap/>
        <w:overflowPunct/>
        <w:topLinePunct w:val="0"/>
        <w:autoSpaceDE/>
        <w:autoSpaceDN/>
        <w:bidi w:val="0"/>
        <w:adjustRightInd w:val="0"/>
        <w:snapToGrid w:val="0"/>
        <w:spacing w:before="161" w:beforeLines="50" w:after="0" w:line="360" w:lineRule="auto"/>
        <w:jc w:val="left"/>
        <w:textAlignment w:val="auto"/>
        <w:outlineLvl w:val="1"/>
        <w:rPr>
          <w:rFonts w:hint="eastAsia" w:ascii="Times New Roman" w:hAnsi="Times New Roman" w:eastAsia="宋体" w:cs="Times New Roman"/>
          <w:b/>
          <w:bCs/>
          <w:color w:val="auto"/>
          <w:sz w:val="24"/>
          <w:szCs w:val="24"/>
          <w:lang w:val="en-US" w:eastAsia="zh-CN"/>
        </w:rPr>
      </w:pPr>
      <w:bookmarkStart w:id="16" w:name="_Toc30013"/>
      <w:bookmarkStart w:id="17" w:name="_Toc487613484"/>
      <w:r>
        <w:rPr>
          <w:rFonts w:hint="eastAsia" w:ascii="Times New Roman" w:hAnsi="Times New Roman" w:eastAsia="宋体" w:cs="Times New Roman"/>
          <w:b/>
          <w:bCs/>
          <w:color w:val="auto"/>
          <w:sz w:val="28"/>
          <w:szCs w:val="28"/>
          <w:lang w:val="en-US" w:eastAsia="zh-CN"/>
        </w:rPr>
        <w:t>三</w:t>
      </w:r>
      <w:r>
        <w:rPr>
          <w:rFonts w:hint="default" w:ascii="Times New Roman" w:hAnsi="Times New Roman" w:eastAsia="宋体" w:cs="Times New Roman"/>
          <w:b/>
          <w:bCs/>
          <w:color w:val="auto"/>
          <w:sz w:val="28"/>
          <w:szCs w:val="28"/>
          <w:lang w:val="en-US" w:eastAsia="zh-CN"/>
        </w:rPr>
        <w:t>、治理方案</w:t>
      </w:r>
      <w:r>
        <w:rPr>
          <w:rFonts w:hint="eastAsia" w:ascii="Times New Roman" w:hAnsi="Times New Roman" w:eastAsia="宋体" w:cs="Times New Roman"/>
          <w:b/>
          <w:bCs/>
          <w:color w:val="auto"/>
          <w:sz w:val="28"/>
          <w:szCs w:val="28"/>
          <w:lang w:val="en-US" w:eastAsia="zh-CN"/>
        </w:rPr>
        <w:t>执行情况</w:t>
      </w:r>
      <w:bookmarkEnd w:id="16"/>
    </w:p>
    <w:p>
      <w:pPr>
        <w:keepNext w:val="0"/>
        <w:keepLines w:val="0"/>
        <w:pageBreakBefore w:val="0"/>
        <w:widowControl/>
        <w:kinsoku/>
        <w:wordWrap/>
        <w:overflowPunct/>
        <w:topLinePunct w:val="0"/>
        <w:autoSpaceDE/>
        <w:autoSpaceDN/>
        <w:bidi w:val="0"/>
        <w:adjustRightInd w:val="0"/>
        <w:snapToGrid w:val="0"/>
        <w:spacing w:after="0" w:line="360" w:lineRule="auto"/>
        <w:ind w:firstLine="482" w:firstLineChars="200"/>
        <w:jc w:val="left"/>
        <w:textAlignment w:val="auto"/>
        <w:rPr>
          <w:rFonts w:hint="default" w:ascii="Times New Roman" w:hAnsi="Times New Roman" w:eastAsia="宋体" w:cs="Times New Roman"/>
          <w:b/>
          <w:bCs/>
          <w:color w:val="auto"/>
          <w:sz w:val="24"/>
          <w:szCs w:val="24"/>
          <w:lang w:val="en-US" w:eastAsia="zh-CN"/>
        </w:rPr>
      </w:pPr>
      <w:r>
        <w:rPr>
          <w:rFonts w:hint="eastAsia" w:eastAsia="宋体" w:cs="Times New Roman"/>
          <w:b/>
          <w:bCs/>
          <w:color w:val="auto"/>
          <w:sz w:val="24"/>
          <w:szCs w:val="24"/>
          <w:lang w:val="en-US" w:eastAsia="zh-CN"/>
        </w:rPr>
        <w:t>1、</w:t>
      </w:r>
      <w:r>
        <w:rPr>
          <w:rFonts w:hint="default" w:ascii="Times New Roman" w:hAnsi="Times New Roman" w:eastAsia="宋体" w:cs="Times New Roman"/>
          <w:b/>
          <w:bCs/>
          <w:color w:val="auto"/>
          <w:sz w:val="24"/>
          <w:szCs w:val="24"/>
          <w:lang w:eastAsia="zh-CN"/>
        </w:rPr>
        <w:t>分期</w:t>
      </w:r>
      <w:bookmarkEnd w:id="17"/>
      <w:r>
        <w:rPr>
          <w:rFonts w:hint="eastAsia" w:eastAsia="宋体" w:cs="Times New Roman"/>
          <w:b/>
          <w:bCs/>
          <w:color w:val="auto"/>
          <w:sz w:val="24"/>
          <w:szCs w:val="24"/>
          <w:lang w:val="en-US" w:eastAsia="zh-CN"/>
        </w:rPr>
        <w:t>方案</w:t>
      </w:r>
      <w:r>
        <w:rPr>
          <w:rFonts w:hint="default" w:ascii="Times New Roman" w:hAnsi="Times New Roman" w:eastAsia="宋体" w:cs="Times New Roman"/>
          <w:b/>
          <w:bCs/>
          <w:color w:val="auto"/>
          <w:sz w:val="24"/>
          <w:szCs w:val="24"/>
          <w:lang w:val="en-US" w:eastAsia="zh-CN"/>
        </w:rPr>
        <w:t>设计治理工程及完成情况</w:t>
      </w:r>
    </w:p>
    <w:p>
      <w:pPr>
        <w:keepNext w:val="0"/>
        <w:keepLines w:val="0"/>
        <w:pageBreakBefore w:val="0"/>
        <w:widowControl/>
        <w:kinsoku/>
        <w:wordWrap/>
        <w:overflowPunct/>
        <w:topLinePunct w:val="0"/>
        <w:autoSpaceDE/>
        <w:autoSpaceDN/>
        <w:bidi w:val="0"/>
        <w:adjustRightInd/>
        <w:snapToGrid/>
        <w:spacing w:after="0" w:line="360" w:lineRule="auto"/>
        <w:ind w:firstLine="480" w:firstLineChars="200"/>
        <w:jc w:val="left"/>
        <w:textAlignment w:val="auto"/>
        <w:rPr>
          <w:rFonts w:hint="default" w:ascii="宋体" w:eastAsia="宋体"/>
          <w:color w:val="auto"/>
          <w:spacing w:val="0"/>
          <w:sz w:val="24"/>
          <w:szCs w:val="24"/>
          <w:lang w:val="en-US" w:eastAsia="zh-CN"/>
        </w:rPr>
      </w:pPr>
      <w:r>
        <w:rPr>
          <w:rFonts w:hint="default" w:ascii="Times New Roman" w:hAnsi="Times New Roman" w:eastAsia="宋体" w:cs="Times New Roman"/>
          <w:bCs/>
          <w:color w:val="auto"/>
          <w:sz w:val="24"/>
          <w:szCs w:val="24"/>
        </w:rPr>
        <w:t>赤峰市元宝山区美丽河镇大金沟村建筑用石玄武岩矿</w:t>
      </w:r>
      <w:r>
        <w:rPr>
          <w:rFonts w:hint="default" w:ascii="Times New Roman" w:hAnsi="Times New Roman" w:eastAsia="宋体" w:cs="Times New Roman"/>
          <w:bCs/>
          <w:color w:val="auto"/>
          <w:sz w:val="24"/>
          <w:szCs w:val="24"/>
          <w:lang w:val="en-US" w:eastAsia="zh-CN"/>
        </w:rPr>
        <w:t>始建于2016年，</w:t>
      </w:r>
      <w:r>
        <w:rPr>
          <w:rFonts w:hint="default" w:ascii="Times New Roman" w:hAnsi="Times New Roman" w:eastAsia="宋体" w:cs="Times New Roman"/>
          <w:color w:val="auto"/>
          <w:kern w:val="2"/>
          <w:sz w:val="24"/>
          <w:szCs w:val="24"/>
          <w:lang w:val="en-US" w:eastAsia="zh-CN" w:bidi="ar"/>
        </w:rPr>
        <w:t>矿山前期</w:t>
      </w:r>
      <w:r>
        <w:rPr>
          <w:rFonts w:hint="default" w:ascii="Times New Roman" w:hAnsi="Times New Roman" w:eastAsia="宋体" w:cs="Times New Roman"/>
          <w:bCs/>
          <w:color w:val="auto"/>
          <w:sz w:val="24"/>
          <w:szCs w:val="24"/>
          <w:lang w:val="en-US" w:eastAsia="zh-CN"/>
        </w:rPr>
        <w:t>采矿活动</w:t>
      </w:r>
      <w:r>
        <w:rPr>
          <w:rFonts w:hint="default" w:ascii="Times New Roman" w:hAnsi="Times New Roman" w:eastAsia="宋体" w:cs="Times New Roman"/>
          <w:color w:val="auto"/>
          <w:kern w:val="2"/>
          <w:sz w:val="24"/>
          <w:szCs w:val="24"/>
          <w:lang w:val="en-US" w:eastAsia="zh-CN" w:bidi="ar"/>
        </w:rPr>
        <w:t>形成影响矿山地质环境的区域包括</w:t>
      </w:r>
      <w:r>
        <w:rPr>
          <w:rFonts w:hint="default" w:ascii="Times New Roman" w:hAnsi="Times New Roman" w:eastAsia="宋体" w:cs="Times New Roman"/>
          <w:bCs/>
          <w:color w:val="auto"/>
          <w:sz w:val="24"/>
          <w:szCs w:val="24"/>
          <w:lang w:val="en-US" w:eastAsia="zh-CN"/>
        </w:rPr>
        <w:t>露天采场、工业场地（2个）、废石场（2个）、办公生活区、矿区道路等单元</w:t>
      </w:r>
      <w:r>
        <w:rPr>
          <w:rFonts w:hint="eastAsia" w:ascii="Times New Roman" w:hAnsi="Times New Roman" w:eastAsia="宋体" w:cs="Times New Roman"/>
          <w:bCs/>
          <w:color w:val="auto"/>
          <w:sz w:val="24"/>
          <w:szCs w:val="24"/>
          <w:lang w:val="en-US" w:eastAsia="zh-CN"/>
        </w:rPr>
        <w:t>。</w:t>
      </w:r>
      <w:r>
        <w:rPr>
          <w:rFonts w:hint="default" w:ascii="Times New Roman" w:hAnsi="Times New Roman" w:eastAsia="宋体" w:cs="Times New Roman"/>
          <w:color w:val="auto"/>
          <w:spacing w:val="0"/>
          <w:sz w:val="24"/>
          <w:szCs w:val="24"/>
          <w:lang w:eastAsia="zh-CN"/>
        </w:rPr>
        <w:t>矿山未编制过分期治理方案，</w:t>
      </w:r>
      <w:r>
        <w:rPr>
          <w:rFonts w:hint="default" w:ascii="Times New Roman" w:hAnsi="Times New Roman" w:eastAsia="宋体" w:cs="Times New Roman"/>
          <w:color w:val="auto"/>
          <w:sz w:val="24"/>
          <w:szCs w:val="24"/>
          <w:lang w:val="en-US" w:eastAsia="zh-CN"/>
        </w:rPr>
        <w:t>为做好矿山地质环境恢复治理工作，</w:t>
      </w:r>
      <w:r>
        <w:rPr>
          <w:rFonts w:hint="default" w:ascii="Times New Roman" w:hAnsi="Times New Roman" w:eastAsia="宋体" w:cs="Times New Roman"/>
          <w:color w:val="auto"/>
          <w:spacing w:val="0"/>
          <w:sz w:val="24"/>
          <w:szCs w:val="24"/>
          <w:lang w:eastAsia="zh-CN"/>
        </w:rPr>
        <w:t>矿山自行完成了工业场地</w:t>
      </w:r>
      <w:r>
        <w:rPr>
          <w:rFonts w:hint="default" w:ascii="Times New Roman" w:hAnsi="Times New Roman" w:eastAsia="宋体" w:cs="Times New Roman"/>
          <w:color w:val="auto"/>
          <w:spacing w:val="0"/>
          <w:sz w:val="24"/>
          <w:szCs w:val="24"/>
          <w:lang w:val="en-US" w:eastAsia="zh-CN"/>
        </w:rPr>
        <w:t>1、工业场地2、办公生活区周围等场地的治理工程，治理效果较好。治理工程</w:t>
      </w:r>
      <w:r>
        <w:rPr>
          <w:rFonts w:hint="eastAsia" w:ascii="Times New Roman" w:hAnsi="Times New Roman" w:eastAsia="宋体" w:cs="Times New Roman"/>
          <w:color w:val="auto"/>
          <w:spacing w:val="0"/>
          <w:sz w:val="24"/>
          <w:szCs w:val="24"/>
          <w:lang w:val="en-US" w:eastAsia="zh-CN"/>
        </w:rPr>
        <w:t>于2021年通过了现场核查</w:t>
      </w:r>
      <w:r>
        <w:rPr>
          <w:rFonts w:hint="default" w:ascii="Times New Roman" w:hAnsi="Times New Roman" w:eastAsia="宋体" w:cs="Times New Roman"/>
          <w:color w:val="auto"/>
          <w:spacing w:val="0"/>
          <w:sz w:val="24"/>
          <w:szCs w:val="24"/>
          <w:lang w:val="en-US" w:eastAsia="zh-CN"/>
        </w:rPr>
        <w:t>验收。各单元治理效果见照片2-1~2-3。</w:t>
      </w:r>
    </w:p>
    <w:p>
      <w:pPr>
        <w:pStyle w:val="2"/>
        <w:keepNext w:val="0"/>
        <w:keepLines w:val="0"/>
        <w:pageBreakBefore w:val="0"/>
        <w:widowControl w:val="0"/>
        <w:kinsoku/>
        <w:wordWrap/>
        <w:overflowPunct/>
        <w:topLinePunct w:val="0"/>
        <w:autoSpaceDE w:val="0"/>
        <w:autoSpaceDN w:val="0"/>
        <w:bidi w:val="0"/>
        <w:adjustRightInd w:val="0"/>
        <w:snapToGrid/>
        <w:jc w:val="center"/>
        <w:textAlignment w:val="auto"/>
        <w:rPr>
          <w:rFonts w:hint="eastAsia" w:ascii="宋体" w:eastAsia="宋体"/>
          <w:color w:val="auto"/>
          <w:spacing w:val="0"/>
          <w:sz w:val="24"/>
          <w:szCs w:val="24"/>
          <w:lang w:val="en-US" w:eastAsia="zh-CN"/>
        </w:rPr>
      </w:pPr>
      <w:r>
        <w:rPr>
          <w:color w:val="auto"/>
        </w:rPr>
        <w:drawing>
          <wp:inline distT="0" distB="0" distL="114300" distR="114300">
            <wp:extent cx="4558030" cy="998855"/>
            <wp:effectExtent l="0" t="0" r="13970" b="10795"/>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5"/>
                    <a:stretch>
                      <a:fillRect/>
                    </a:stretch>
                  </pic:blipFill>
                  <pic:spPr>
                    <a:xfrm>
                      <a:off x="0" y="0"/>
                      <a:ext cx="4558030" cy="998855"/>
                    </a:xfrm>
                    <a:prstGeom prst="rect">
                      <a:avLst/>
                    </a:prstGeom>
                    <a:noFill/>
                    <a:ln>
                      <a:noFill/>
                    </a:ln>
                  </pic:spPr>
                </pic:pic>
              </a:graphicData>
            </a:graphic>
          </wp:inline>
        </w:drawing>
      </w:r>
    </w:p>
    <w:p>
      <w:pPr>
        <w:pStyle w:val="2"/>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default" w:ascii="宋体" w:eastAsia="宋体"/>
          <w:color w:val="auto"/>
          <w:spacing w:val="0"/>
          <w:sz w:val="24"/>
          <w:szCs w:val="24"/>
          <w:lang w:val="en-US" w:eastAsia="zh-CN"/>
        </w:rPr>
      </w:pPr>
      <w:r>
        <w:rPr>
          <w:rFonts w:hint="eastAsia" w:ascii="黑体" w:hAnsi="黑体" w:eastAsia="黑体" w:cs="黑体"/>
          <w:b w:val="0"/>
          <w:bCs w:val="0"/>
          <w:color w:val="auto"/>
          <w:spacing w:val="0"/>
          <w:sz w:val="24"/>
          <w:szCs w:val="24"/>
          <w:lang w:val="en-US" w:eastAsia="zh-CN"/>
        </w:rPr>
        <w:t>照片2-1  工业场地1治理效果照片</w:t>
      </w:r>
    </w:p>
    <w:p>
      <w:pPr>
        <w:pStyle w:val="2"/>
        <w:keepNext w:val="0"/>
        <w:keepLines w:val="0"/>
        <w:pageBreakBefore w:val="0"/>
        <w:widowControl w:val="0"/>
        <w:kinsoku/>
        <w:wordWrap/>
        <w:overflowPunct/>
        <w:topLinePunct w:val="0"/>
        <w:autoSpaceDE w:val="0"/>
        <w:autoSpaceDN w:val="0"/>
        <w:bidi w:val="0"/>
        <w:adjustRightInd w:val="0"/>
        <w:snapToGrid/>
        <w:jc w:val="center"/>
        <w:textAlignment w:val="auto"/>
        <w:rPr>
          <w:rFonts w:hint="eastAsia" w:ascii="宋体" w:eastAsia="宋体"/>
          <w:color w:val="auto"/>
          <w:spacing w:val="0"/>
          <w:sz w:val="24"/>
          <w:szCs w:val="24"/>
          <w:lang w:val="en-US" w:eastAsia="zh-CN"/>
        </w:rPr>
      </w:pPr>
      <w:r>
        <w:rPr>
          <w:color w:val="auto"/>
        </w:rPr>
        <w:drawing>
          <wp:inline distT="0" distB="0" distL="114300" distR="114300">
            <wp:extent cx="4568825" cy="1841500"/>
            <wp:effectExtent l="0" t="0" r="3175" b="6350"/>
            <wp:docPr id="1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9"/>
                    <pic:cNvPicPr>
                      <a:picLocks noChangeAspect="1"/>
                    </pic:cNvPicPr>
                  </pic:nvPicPr>
                  <pic:blipFill>
                    <a:blip r:embed="rId6"/>
                    <a:srcRect r="156" b="12178"/>
                    <a:stretch>
                      <a:fillRect/>
                    </a:stretch>
                  </pic:blipFill>
                  <pic:spPr>
                    <a:xfrm>
                      <a:off x="0" y="0"/>
                      <a:ext cx="4568825" cy="1841500"/>
                    </a:xfrm>
                    <a:prstGeom prst="rect">
                      <a:avLst/>
                    </a:prstGeom>
                    <a:noFill/>
                    <a:ln>
                      <a:noFill/>
                    </a:ln>
                  </pic:spPr>
                </pic:pic>
              </a:graphicData>
            </a:graphic>
          </wp:inline>
        </w:drawing>
      </w:r>
    </w:p>
    <w:p>
      <w:pPr>
        <w:pStyle w:val="2"/>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eastAsia" w:ascii="宋体" w:eastAsia="宋体"/>
          <w:color w:val="auto"/>
          <w:spacing w:val="0"/>
          <w:sz w:val="24"/>
          <w:szCs w:val="24"/>
          <w:lang w:val="en-US" w:eastAsia="zh-CN"/>
        </w:rPr>
      </w:pPr>
      <w:r>
        <w:rPr>
          <w:rFonts w:hint="eastAsia" w:ascii="黑体" w:hAnsi="黑体" w:eastAsia="黑体" w:cs="黑体"/>
          <w:b w:val="0"/>
          <w:bCs w:val="0"/>
          <w:color w:val="auto"/>
          <w:spacing w:val="0"/>
          <w:sz w:val="24"/>
          <w:szCs w:val="24"/>
          <w:lang w:val="en-US" w:eastAsia="zh-CN"/>
        </w:rPr>
        <w:t>照片2-2  工业场地2治理效果照片</w:t>
      </w:r>
    </w:p>
    <w:p>
      <w:pPr>
        <w:pStyle w:val="2"/>
        <w:keepNext w:val="0"/>
        <w:keepLines w:val="0"/>
        <w:pageBreakBefore w:val="0"/>
        <w:widowControl w:val="0"/>
        <w:kinsoku/>
        <w:wordWrap/>
        <w:overflowPunct/>
        <w:topLinePunct w:val="0"/>
        <w:autoSpaceDE w:val="0"/>
        <w:autoSpaceDN w:val="0"/>
        <w:bidi w:val="0"/>
        <w:adjustRightInd w:val="0"/>
        <w:snapToGrid/>
        <w:jc w:val="center"/>
        <w:textAlignment w:val="auto"/>
        <w:rPr>
          <w:rFonts w:hint="eastAsia" w:ascii="宋体" w:eastAsia="宋体"/>
          <w:color w:val="auto"/>
          <w:spacing w:val="0"/>
          <w:sz w:val="24"/>
          <w:szCs w:val="24"/>
          <w:lang w:val="en-US" w:eastAsia="zh-CN"/>
        </w:rPr>
      </w:pPr>
      <w:r>
        <w:rPr>
          <w:color w:val="auto"/>
        </w:rPr>
        <w:drawing>
          <wp:inline distT="0" distB="0" distL="114300" distR="114300">
            <wp:extent cx="4625340" cy="895350"/>
            <wp:effectExtent l="0" t="0" r="3810" b="0"/>
            <wp:docPr id="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pic:cNvPicPr>
                      <a:picLocks noChangeAspect="1"/>
                    </pic:cNvPicPr>
                  </pic:nvPicPr>
                  <pic:blipFill>
                    <a:blip r:embed="rId7"/>
                    <a:stretch>
                      <a:fillRect/>
                    </a:stretch>
                  </pic:blipFill>
                  <pic:spPr>
                    <a:xfrm>
                      <a:off x="0" y="0"/>
                      <a:ext cx="4625340" cy="895350"/>
                    </a:xfrm>
                    <a:prstGeom prst="rect">
                      <a:avLst/>
                    </a:prstGeom>
                    <a:noFill/>
                    <a:ln>
                      <a:noFill/>
                    </a:ln>
                  </pic:spPr>
                </pic:pic>
              </a:graphicData>
            </a:graphic>
          </wp:inline>
        </w:drawing>
      </w:r>
    </w:p>
    <w:p>
      <w:pPr>
        <w:pStyle w:val="2"/>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default" w:ascii="宋体" w:eastAsia="宋体"/>
          <w:color w:val="auto"/>
          <w:spacing w:val="0"/>
          <w:sz w:val="24"/>
          <w:szCs w:val="24"/>
          <w:lang w:val="en-US" w:eastAsia="zh-CN"/>
        </w:rPr>
      </w:pPr>
      <w:r>
        <w:rPr>
          <w:rFonts w:hint="eastAsia" w:ascii="黑体" w:hAnsi="黑体" w:eastAsia="黑体" w:cs="黑体"/>
          <w:color w:val="auto"/>
          <w:spacing w:val="0"/>
          <w:sz w:val="24"/>
          <w:szCs w:val="24"/>
          <w:lang w:val="en-US" w:eastAsia="zh-CN"/>
        </w:rPr>
        <w:t>照片2-3  办公生活区周围治理效果照片</w:t>
      </w:r>
    </w:p>
    <w:p>
      <w:pPr>
        <w:keepNext w:val="0"/>
        <w:keepLines w:val="0"/>
        <w:pageBreakBefore w:val="0"/>
        <w:widowControl/>
        <w:kinsoku/>
        <w:wordWrap/>
        <w:overflowPunct/>
        <w:topLinePunct w:val="0"/>
        <w:autoSpaceDE/>
        <w:autoSpaceDN/>
        <w:bidi w:val="0"/>
        <w:adjustRightInd w:val="0"/>
        <w:snapToGrid w:val="0"/>
        <w:spacing w:after="0" w:line="360" w:lineRule="auto"/>
        <w:ind w:firstLine="482" w:firstLineChars="200"/>
        <w:jc w:val="left"/>
        <w:textAlignment w:val="auto"/>
        <w:rPr>
          <w:rFonts w:hint="default" w:ascii="Times New Roman" w:hAnsi="Times New Roman" w:eastAsia="宋体" w:cs="Times New Roman"/>
          <w:b/>
          <w:bCs/>
          <w:color w:val="auto"/>
          <w:sz w:val="24"/>
          <w:szCs w:val="24"/>
          <w:lang w:val="en-US" w:eastAsia="zh-CN"/>
        </w:rPr>
      </w:pPr>
      <w:r>
        <w:rPr>
          <w:rFonts w:hint="eastAsia" w:eastAsia="宋体" w:cs="Times New Roman"/>
          <w:b/>
          <w:bCs/>
          <w:color w:val="auto"/>
          <w:sz w:val="24"/>
          <w:szCs w:val="24"/>
          <w:lang w:val="en-US" w:eastAsia="zh-CN"/>
        </w:rPr>
        <w:t>2、</w:t>
      </w:r>
      <w:r>
        <w:rPr>
          <w:rFonts w:hint="default" w:ascii="Times New Roman" w:hAnsi="Times New Roman" w:eastAsia="宋体" w:cs="Times New Roman"/>
          <w:b/>
          <w:bCs/>
          <w:color w:val="auto"/>
          <w:sz w:val="24"/>
          <w:szCs w:val="24"/>
          <w:lang w:val="en-US" w:eastAsia="zh-CN"/>
        </w:rPr>
        <w:t>《</w:t>
      </w:r>
      <w:r>
        <w:rPr>
          <w:rFonts w:hint="eastAsia" w:eastAsia="宋体" w:cs="Times New Roman"/>
          <w:b/>
          <w:bCs/>
          <w:color w:val="auto"/>
          <w:sz w:val="24"/>
          <w:szCs w:val="24"/>
          <w:lang w:val="en-US" w:eastAsia="zh-CN"/>
        </w:rPr>
        <w:t>2021</w:t>
      </w:r>
      <w:r>
        <w:rPr>
          <w:rFonts w:hint="eastAsia" w:ascii="Times New Roman" w:hAnsi="Times New Roman" w:eastAsia="宋体" w:cs="Times New Roman"/>
          <w:b/>
          <w:bCs/>
          <w:color w:val="auto"/>
          <w:sz w:val="24"/>
          <w:szCs w:val="24"/>
          <w:lang w:val="en-US" w:eastAsia="zh-CN"/>
        </w:rPr>
        <w:t>年度治理计划书</w:t>
      </w:r>
      <w:r>
        <w:rPr>
          <w:rFonts w:hint="default" w:ascii="Times New Roman" w:hAnsi="Times New Roman" w:eastAsia="宋体" w:cs="Times New Roman"/>
          <w:b/>
          <w:bCs/>
          <w:color w:val="auto"/>
          <w:sz w:val="24"/>
          <w:szCs w:val="24"/>
          <w:lang w:val="en-US" w:eastAsia="zh-CN"/>
        </w:rPr>
        <w:t>》</w:t>
      </w:r>
      <w:r>
        <w:rPr>
          <w:rFonts w:hint="eastAsia" w:ascii="Times New Roman" w:hAnsi="Times New Roman" w:eastAsia="宋体" w:cs="Times New Roman"/>
          <w:b/>
          <w:bCs/>
          <w:color w:val="auto"/>
          <w:sz w:val="24"/>
          <w:szCs w:val="24"/>
          <w:lang w:val="en-US" w:eastAsia="zh-CN"/>
        </w:rPr>
        <w:t>设计</w:t>
      </w:r>
      <w:r>
        <w:rPr>
          <w:rFonts w:hint="default" w:ascii="Times New Roman" w:hAnsi="Times New Roman" w:eastAsia="宋体" w:cs="Times New Roman"/>
          <w:b/>
          <w:bCs/>
          <w:color w:val="auto"/>
          <w:sz w:val="24"/>
          <w:szCs w:val="24"/>
          <w:lang w:val="en-US" w:eastAsia="zh-CN"/>
        </w:rPr>
        <w:t>治理工程及完成情况</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eastAsia="宋体" w:cs="Times New Roman"/>
          <w:bCs/>
          <w:color w:val="auto"/>
          <w:sz w:val="24"/>
          <w:szCs w:val="24"/>
          <w:lang w:eastAsia="zh-CN"/>
        </w:rPr>
      </w:pPr>
      <w:r>
        <w:rPr>
          <w:rFonts w:hint="default" w:ascii="Times New Roman" w:hAnsi="Times New Roman" w:eastAsia="宋体" w:cs="Times New Roman"/>
          <w:bCs/>
          <w:color w:val="auto"/>
          <w:sz w:val="24"/>
          <w:szCs w:val="24"/>
          <w:lang w:val="en-US" w:eastAsia="zh-CN"/>
        </w:rPr>
        <w:t>2021年2月，由</w:t>
      </w:r>
      <w:r>
        <w:rPr>
          <w:rFonts w:hint="default" w:ascii="Times New Roman" w:hAnsi="Times New Roman" w:eastAsia="宋体" w:cs="Times New Roman"/>
          <w:bCs/>
          <w:color w:val="auto"/>
          <w:sz w:val="24"/>
          <w:szCs w:val="24"/>
        </w:rPr>
        <w:t>赤峰龙阳电力安装有限公司</w:t>
      </w:r>
      <w:r>
        <w:rPr>
          <w:rFonts w:hint="default" w:ascii="Times New Roman" w:hAnsi="Times New Roman" w:eastAsia="宋体" w:cs="Times New Roman"/>
          <w:bCs/>
          <w:color w:val="auto"/>
          <w:sz w:val="24"/>
          <w:szCs w:val="24"/>
          <w:lang w:eastAsia="zh-CN"/>
        </w:rPr>
        <w:t>提交的《</w:t>
      </w:r>
      <w:r>
        <w:rPr>
          <w:rFonts w:hint="default" w:ascii="Times New Roman" w:hAnsi="Times New Roman" w:eastAsia="宋体" w:cs="Times New Roman"/>
          <w:bCs/>
          <w:color w:val="auto"/>
          <w:sz w:val="24"/>
          <w:szCs w:val="24"/>
        </w:rPr>
        <w:t>赤峰市元宝山区美丽河镇大金沟村建筑用石玄武岩矿2021年度矿山地质环境治理计划书</w:t>
      </w:r>
      <w:r>
        <w:rPr>
          <w:rFonts w:hint="default" w:ascii="Times New Roman" w:hAnsi="Times New Roman" w:eastAsia="宋体" w:cs="Times New Roman"/>
          <w:bCs/>
          <w:color w:val="auto"/>
          <w:sz w:val="24"/>
          <w:szCs w:val="24"/>
          <w:lang w:eastAsia="zh-CN"/>
        </w:rPr>
        <w:t>》</w:t>
      </w:r>
      <w:r>
        <w:rPr>
          <w:rFonts w:hint="eastAsia" w:eastAsia="宋体" w:cs="Times New Roman"/>
          <w:bCs/>
          <w:color w:val="auto"/>
          <w:sz w:val="24"/>
          <w:szCs w:val="24"/>
          <w:lang w:eastAsia="zh-CN"/>
        </w:rPr>
        <w:t>，设计治理内容为对前期治理区进行完善治理。</w:t>
      </w:r>
      <w:r>
        <w:rPr>
          <w:rFonts w:hint="eastAsia" w:eastAsia="宋体" w:cs="Times New Roman"/>
          <w:bCs/>
          <w:color w:val="auto"/>
          <w:sz w:val="24"/>
          <w:szCs w:val="24"/>
          <w:lang w:val="en-US" w:eastAsia="zh-CN"/>
        </w:rPr>
        <w:t>矿山已完成2021年度设计治理工程，并由</w:t>
      </w:r>
      <w:r>
        <w:rPr>
          <w:rFonts w:hint="default" w:ascii="Times New Roman" w:hAnsi="Times New Roman" w:eastAsia="宋体" w:cs="Times New Roman"/>
          <w:color w:val="auto"/>
          <w:kern w:val="2"/>
          <w:sz w:val="24"/>
          <w:szCs w:val="24"/>
          <w:lang w:val="en-US" w:eastAsia="zh-CN" w:bidi="ar"/>
        </w:rPr>
        <w:t>赤峰市自然资源局</w:t>
      </w:r>
      <w:r>
        <w:rPr>
          <w:rFonts w:hint="eastAsia" w:ascii="Times New Roman" w:hAnsi="Times New Roman" w:eastAsia="宋体" w:cs="Times New Roman"/>
          <w:color w:val="auto"/>
          <w:kern w:val="2"/>
          <w:sz w:val="24"/>
          <w:szCs w:val="24"/>
          <w:lang w:val="en-US" w:eastAsia="zh-CN" w:bidi="ar"/>
        </w:rPr>
        <w:t>元宝山区</w:t>
      </w:r>
      <w:r>
        <w:rPr>
          <w:rFonts w:hint="default" w:ascii="Times New Roman" w:hAnsi="Times New Roman" w:eastAsia="宋体" w:cs="Times New Roman"/>
          <w:color w:val="auto"/>
          <w:kern w:val="2"/>
          <w:sz w:val="24"/>
          <w:szCs w:val="24"/>
          <w:lang w:val="en-US" w:eastAsia="zh-CN" w:bidi="ar"/>
        </w:rPr>
        <w:t>分局组织</w:t>
      </w:r>
      <w:r>
        <w:rPr>
          <w:rFonts w:hint="eastAsia" w:ascii="Times New Roman" w:hAnsi="Times New Roman" w:eastAsia="宋体" w:cs="Times New Roman"/>
          <w:color w:val="auto"/>
          <w:kern w:val="2"/>
          <w:sz w:val="24"/>
          <w:szCs w:val="24"/>
          <w:lang w:val="en-US" w:eastAsia="zh-CN" w:bidi="ar"/>
        </w:rPr>
        <w:t>的</w:t>
      </w:r>
      <w:r>
        <w:rPr>
          <w:rFonts w:hint="default" w:ascii="Times New Roman" w:hAnsi="Times New Roman" w:eastAsia="宋体" w:cs="Times New Roman"/>
          <w:color w:val="auto"/>
          <w:kern w:val="2"/>
          <w:sz w:val="24"/>
          <w:szCs w:val="24"/>
          <w:lang w:val="en-US" w:eastAsia="zh-CN" w:bidi="ar"/>
        </w:rPr>
        <w:t>有关专家组成核查组对《</w:t>
      </w:r>
      <w:r>
        <w:rPr>
          <w:rFonts w:hint="default" w:ascii="Times New Roman" w:hAnsi="Times New Roman" w:eastAsia="宋体" w:cs="Times New Roman"/>
          <w:bCs/>
          <w:color w:val="auto"/>
          <w:sz w:val="24"/>
          <w:szCs w:val="24"/>
        </w:rPr>
        <w:t>赤峰市元宝山区美丽河镇大金沟村建筑用石玄武岩矿2021年度矿山地质环境治理计划书</w:t>
      </w:r>
      <w:r>
        <w:rPr>
          <w:rFonts w:hint="default" w:ascii="Times New Roman" w:hAnsi="Times New Roman" w:eastAsia="宋体" w:cs="Times New Roman"/>
          <w:color w:val="auto"/>
          <w:kern w:val="2"/>
          <w:sz w:val="24"/>
          <w:szCs w:val="24"/>
          <w:lang w:val="en-US" w:eastAsia="zh-CN" w:bidi="ar"/>
        </w:rPr>
        <w:t>》执行情况进行</w:t>
      </w:r>
      <w:r>
        <w:rPr>
          <w:rFonts w:hint="eastAsia" w:cs="Times New Roman"/>
          <w:color w:val="auto"/>
          <w:kern w:val="2"/>
          <w:sz w:val="24"/>
          <w:szCs w:val="24"/>
          <w:lang w:val="en-US" w:eastAsia="zh-CN" w:bidi="ar"/>
        </w:rPr>
        <w:t>了</w:t>
      </w:r>
      <w:r>
        <w:rPr>
          <w:rFonts w:hint="default" w:ascii="Times New Roman" w:hAnsi="Times New Roman" w:eastAsia="宋体" w:cs="Times New Roman"/>
          <w:color w:val="auto"/>
          <w:kern w:val="2"/>
          <w:sz w:val="24"/>
          <w:szCs w:val="24"/>
          <w:lang w:val="en-US" w:eastAsia="zh-CN" w:bidi="ar"/>
        </w:rPr>
        <w:t>现场核查</w:t>
      </w:r>
      <w:r>
        <w:rPr>
          <w:rFonts w:hint="eastAsia" w:cs="Times New Roman"/>
          <w:color w:val="auto"/>
          <w:kern w:val="2"/>
          <w:sz w:val="24"/>
          <w:szCs w:val="24"/>
          <w:lang w:val="en-US" w:eastAsia="zh-CN" w:bidi="ar"/>
        </w:rPr>
        <w:t>。</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eastAsia="宋体" w:cs="Times New Roman"/>
          <w:bCs/>
          <w:color w:val="auto"/>
          <w:sz w:val="24"/>
          <w:szCs w:val="24"/>
          <w:lang w:eastAsia="zh-CN"/>
        </w:rPr>
      </w:pPr>
      <w:r>
        <w:rPr>
          <w:rFonts w:hint="eastAsia" w:cs="Times New Roman"/>
          <w:color w:val="auto"/>
          <w:kern w:val="2"/>
          <w:sz w:val="24"/>
          <w:szCs w:val="24"/>
          <w:lang w:val="en-US" w:eastAsia="zh-CN" w:bidi="ar"/>
        </w:rPr>
        <w:t>经</w:t>
      </w:r>
      <w:r>
        <w:rPr>
          <w:rFonts w:hint="default" w:ascii="Times New Roman" w:hAnsi="Times New Roman" w:eastAsia="宋体" w:cs="Times New Roman"/>
          <w:color w:val="auto"/>
          <w:kern w:val="2"/>
          <w:sz w:val="24"/>
          <w:szCs w:val="24"/>
          <w:lang w:val="en-US" w:eastAsia="zh-CN" w:bidi="ar"/>
        </w:rPr>
        <w:t>现场核查，矿山完成了</w:t>
      </w:r>
      <w:r>
        <w:rPr>
          <w:rFonts w:hint="eastAsia" w:ascii="Times New Roman" w:hAnsi="Times New Roman" w:eastAsia="宋体" w:cs="Times New Roman"/>
          <w:color w:val="auto"/>
          <w:kern w:val="2"/>
          <w:sz w:val="24"/>
          <w:szCs w:val="24"/>
          <w:lang w:val="en-US" w:eastAsia="zh-CN" w:bidi="ar"/>
        </w:rPr>
        <w:t>两处工业场地及废石场的整形</w:t>
      </w:r>
      <w:r>
        <w:rPr>
          <w:rFonts w:hint="default" w:ascii="Times New Roman" w:hAnsi="Times New Roman" w:eastAsia="宋体" w:cs="Times New Roman"/>
          <w:color w:val="auto"/>
          <w:kern w:val="2"/>
          <w:sz w:val="24"/>
          <w:szCs w:val="24"/>
          <w:lang w:val="en-US" w:eastAsia="zh-CN" w:bidi="ar"/>
        </w:rPr>
        <w:t>、覆土</w:t>
      </w:r>
      <w:r>
        <w:rPr>
          <w:rFonts w:hint="eastAsia" w:ascii="Times New Roman" w:hAnsi="Times New Roman" w:eastAsia="宋体" w:cs="Times New Roman"/>
          <w:color w:val="auto"/>
          <w:kern w:val="2"/>
          <w:sz w:val="24"/>
          <w:szCs w:val="24"/>
          <w:lang w:val="en-US" w:eastAsia="zh-CN" w:bidi="ar"/>
        </w:rPr>
        <w:t>、栽植松树的治理工程，治理单元地貌景观与周边地形协调。</w:t>
      </w:r>
      <w:r>
        <w:rPr>
          <w:rFonts w:hint="default" w:ascii="Times New Roman" w:hAnsi="Times New Roman" w:eastAsia="宋体" w:cs="Times New Roman"/>
          <w:bCs/>
          <w:color w:val="auto"/>
          <w:sz w:val="24"/>
          <w:szCs w:val="24"/>
        </w:rPr>
        <w:t>赤峰市元宝山区美丽河镇大金沟村建筑用石玄武岩矿</w:t>
      </w:r>
      <w:r>
        <w:rPr>
          <w:rFonts w:hint="eastAsia" w:ascii="Times New Roman" w:hAnsi="Times New Roman" w:eastAsia="宋体" w:cs="Times New Roman"/>
          <w:color w:val="auto"/>
          <w:kern w:val="2"/>
          <w:sz w:val="24"/>
          <w:szCs w:val="24"/>
          <w:lang w:val="en-US" w:eastAsia="zh-CN" w:bidi="ar"/>
        </w:rPr>
        <w:t>2021</w:t>
      </w:r>
      <w:r>
        <w:rPr>
          <w:rFonts w:hint="default" w:ascii="Times New Roman" w:hAnsi="Times New Roman" w:eastAsia="宋体" w:cs="Times New Roman"/>
          <w:color w:val="auto"/>
          <w:kern w:val="2"/>
          <w:sz w:val="24"/>
          <w:szCs w:val="24"/>
          <w:lang w:val="en-US" w:eastAsia="zh-CN" w:bidi="ar"/>
        </w:rPr>
        <w:t>年度矿山地质环境治理</w:t>
      </w:r>
      <w:r>
        <w:rPr>
          <w:rFonts w:hint="eastAsia" w:cs="Times New Roman"/>
          <w:color w:val="auto"/>
          <w:kern w:val="2"/>
          <w:sz w:val="24"/>
          <w:szCs w:val="24"/>
          <w:lang w:val="en-US" w:eastAsia="zh-CN" w:bidi="ar"/>
        </w:rPr>
        <w:t>工程通过了专家组的核查</w:t>
      </w:r>
      <w:r>
        <w:rPr>
          <w:rFonts w:hint="default" w:ascii="Times New Roman" w:hAnsi="Times New Roman" w:eastAsia="宋体" w:cs="Times New Roman"/>
          <w:color w:val="auto"/>
          <w:kern w:val="2"/>
          <w:sz w:val="24"/>
          <w:szCs w:val="24"/>
          <w:lang w:val="en-US" w:eastAsia="zh-CN" w:bidi="ar"/>
        </w:rPr>
        <w:t>。</w:t>
      </w:r>
    </w:p>
    <w:p>
      <w:pPr>
        <w:keepNext w:val="0"/>
        <w:keepLines w:val="0"/>
        <w:pageBreakBefore w:val="0"/>
        <w:widowControl/>
        <w:kinsoku/>
        <w:wordWrap/>
        <w:overflowPunct/>
        <w:topLinePunct w:val="0"/>
        <w:autoSpaceDE/>
        <w:autoSpaceDN/>
        <w:bidi w:val="0"/>
        <w:adjustRightInd w:val="0"/>
        <w:snapToGrid w:val="0"/>
        <w:spacing w:after="0" w:line="360" w:lineRule="auto"/>
        <w:ind w:firstLine="482" w:firstLineChars="200"/>
        <w:jc w:val="left"/>
        <w:textAlignment w:val="auto"/>
        <w:rPr>
          <w:rFonts w:hint="default"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3</w:t>
      </w:r>
      <w:r>
        <w:rPr>
          <w:rFonts w:hint="default" w:ascii="Times New Roman" w:hAnsi="Times New Roman" w:eastAsia="宋体" w:cs="Times New Roman"/>
          <w:b/>
          <w:bCs/>
          <w:color w:val="auto"/>
          <w:sz w:val="24"/>
          <w:szCs w:val="24"/>
          <w:lang w:val="en-US" w:eastAsia="zh-CN"/>
        </w:rPr>
        <w:t>、《2022年度治理计划书》设计治理工程及完成情况</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2022年3月，由赤峰比尔商贸有限公司</w:t>
      </w:r>
      <w:r>
        <w:rPr>
          <w:rFonts w:hint="default" w:ascii="Times New Roman" w:hAnsi="Times New Roman" w:eastAsia="宋体" w:cs="Times New Roman"/>
          <w:bCs/>
          <w:color w:val="auto"/>
          <w:sz w:val="24"/>
          <w:szCs w:val="24"/>
          <w:lang w:eastAsia="zh-CN"/>
        </w:rPr>
        <w:t>提交的《</w:t>
      </w:r>
      <w:r>
        <w:rPr>
          <w:rFonts w:hint="default" w:ascii="Times New Roman" w:hAnsi="Times New Roman" w:eastAsia="宋体" w:cs="Times New Roman"/>
          <w:bCs/>
          <w:color w:val="auto"/>
          <w:sz w:val="24"/>
          <w:szCs w:val="24"/>
        </w:rPr>
        <w:t>赤峰市元宝山区美丽河镇大金沟村建筑用石玄武岩矿202</w:t>
      </w:r>
      <w:r>
        <w:rPr>
          <w:rFonts w:hint="default" w:ascii="Times New Roman" w:hAnsi="Times New Roman" w:eastAsia="宋体" w:cs="Times New Roman"/>
          <w:bCs/>
          <w:color w:val="auto"/>
          <w:sz w:val="24"/>
          <w:szCs w:val="24"/>
          <w:lang w:val="en-US" w:eastAsia="zh-CN"/>
        </w:rPr>
        <w:t>2</w:t>
      </w:r>
      <w:r>
        <w:rPr>
          <w:rFonts w:hint="default" w:ascii="Times New Roman" w:hAnsi="Times New Roman" w:eastAsia="宋体" w:cs="Times New Roman"/>
          <w:bCs/>
          <w:color w:val="auto"/>
          <w:sz w:val="24"/>
          <w:szCs w:val="24"/>
        </w:rPr>
        <w:t>年度矿山地质环境治理计划书</w:t>
      </w:r>
      <w:r>
        <w:rPr>
          <w:rFonts w:hint="default" w:ascii="Times New Roman" w:hAnsi="Times New Roman" w:eastAsia="宋体" w:cs="Times New Roman"/>
          <w:bCs/>
          <w:color w:val="auto"/>
          <w:sz w:val="24"/>
          <w:szCs w:val="24"/>
          <w:lang w:eastAsia="zh-CN"/>
        </w:rPr>
        <w:t>》，设计治理内容为对</w:t>
      </w:r>
      <w:r>
        <w:rPr>
          <w:rFonts w:hint="default" w:ascii="Times New Roman" w:hAnsi="Times New Roman" w:eastAsia="宋体" w:cs="Times New Roman"/>
          <w:bCs/>
          <w:color w:val="auto"/>
          <w:sz w:val="24"/>
          <w:szCs w:val="24"/>
          <w:lang w:val="en-US" w:eastAsia="zh-CN"/>
        </w:rPr>
        <w:t>矿区地形地貌景观及土地资源进行监测，对复垦植被进行管护。</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kern w:val="2"/>
          <w:sz w:val="24"/>
          <w:szCs w:val="24"/>
          <w:lang w:val="en-US" w:eastAsia="zh-CN" w:bidi="ar"/>
        </w:rPr>
      </w:pPr>
      <w:r>
        <w:rPr>
          <w:rFonts w:hint="default" w:ascii="Times New Roman" w:hAnsi="Times New Roman" w:eastAsia="宋体" w:cs="Times New Roman"/>
          <w:color w:val="auto"/>
          <w:kern w:val="2"/>
          <w:sz w:val="24"/>
          <w:szCs w:val="24"/>
          <w:lang w:val="en-US" w:eastAsia="zh-CN" w:bidi="ar"/>
        </w:rPr>
        <w:t>矿山完成了2022年的设计治理工程。并通过了由</w:t>
      </w:r>
      <w:r>
        <w:rPr>
          <w:rFonts w:hint="default" w:ascii="Times New Roman" w:hAnsi="Times New Roman" w:eastAsia="宋体" w:cs="Times New Roman"/>
          <w:bCs/>
          <w:color w:val="auto"/>
          <w:sz w:val="24"/>
          <w:szCs w:val="24"/>
        </w:rPr>
        <w:t>赤峰市元宝山区</w:t>
      </w:r>
      <w:r>
        <w:rPr>
          <w:rFonts w:hint="default" w:ascii="Times New Roman" w:hAnsi="Times New Roman" w:eastAsia="宋体" w:cs="Times New Roman"/>
          <w:color w:val="auto"/>
          <w:kern w:val="2"/>
          <w:sz w:val="24"/>
          <w:szCs w:val="24"/>
          <w:lang w:val="en-US" w:eastAsia="zh-CN" w:bidi="ar"/>
        </w:rPr>
        <w:t>赤峰市自然资源局元宝山区分局组织的有关专家组现场核查、验收。</w:t>
      </w:r>
    </w:p>
    <w:p>
      <w:pPr>
        <w:keepNext w:val="0"/>
        <w:keepLines w:val="0"/>
        <w:pageBreakBefore w:val="0"/>
        <w:widowControl/>
        <w:kinsoku/>
        <w:wordWrap/>
        <w:overflowPunct/>
        <w:topLinePunct w:val="0"/>
        <w:autoSpaceDE/>
        <w:autoSpaceDN/>
        <w:bidi w:val="0"/>
        <w:adjustRightInd w:val="0"/>
        <w:snapToGrid w:val="0"/>
        <w:spacing w:after="0" w:line="360" w:lineRule="auto"/>
        <w:ind w:firstLine="482" w:firstLineChars="200"/>
        <w:jc w:val="left"/>
        <w:textAlignment w:val="auto"/>
        <w:rPr>
          <w:rFonts w:hint="default" w:ascii="Times New Roman" w:hAnsi="Times New Roman" w:eastAsia="宋体" w:cs="Times New Roman"/>
          <w:b/>
          <w:bCs/>
          <w:color w:val="auto"/>
          <w:sz w:val="24"/>
          <w:szCs w:val="24"/>
          <w:lang w:val="en-US" w:eastAsia="zh-CN"/>
        </w:rPr>
      </w:pPr>
      <w:r>
        <w:rPr>
          <w:rFonts w:hint="eastAsia" w:eastAsia="宋体" w:cs="Times New Roman"/>
          <w:b/>
          <w:bCs/>
          <w:color w:val="auto"/>
          <w:sz w:val="24"/>
          <w:szCs w:val="24"/>
          <w:lang w:val="en-US" w:eastAsia="zh-CN"/>
        </w:rPr>
        <w:t>4、</w:t>
      </w:r>
      <w:r>
        <w:rPr>
          <w:rFonts w:hint="default" w:ascii="Times New Roman" w:hAnsi="Times New Roman" w:eastAsia="宋体" w:cs="Times New Roman"/>
          <w:b/>
          <w:bCs/>
          <w:color w:val="auto"/>
          <w:sz w:val="24"/>
          <w:szCs w:val="24"/>
          <w:lang w:val="en-US" w:eastAsia="zh-CN"/>
        </w:rPr>
        <w:t>《</w:t>
      </w:r>
      <w:r>
        <w:rPr>
          <w:rFonts w:hint="eastAsia" w:eastAsia="宋体" w:cs="Times New Roman"/>
          <w:b/>
          <w:bCs/>
          <w:color w:val="auto"/>
          <w:sz w:val="24"/>
          <w:szCs w:val="24"/>
          <w:lang w:val="en-US" w:eastAsia="zh-CN"/>
        </w:rPr>
        <w:t>2023</w:t>
      </w:r>
      <w:r>
        <w:rPr>
          <w:rFonts w:hint="eastAsia" w:ascii="Times New Roman" w:hAnsi="Times New Roman" w:eastAsia="宋体" w:cs="Times New Roman"/>
          <w:b/>
          <w:bCs/>
          <w:color w:val="auto"/>
          <w:sz w:val="24"/>
          <w:szCs w:val="24"/>
          <w:lang w:val="en-US" w:eastAsia="zh-CN"/>
        </w:rPr>
        <w:t>年度治理计划书</w:t>
      </w:r>
      <w:r>
        <w:rPr>
          <w:rFonts w:hint="default" w:ascii="Times New Roman" w:hAnsi="Times New Roman" w:eastAsia="宋体" w:cs="Times New Roman"/>
          <w:b/>
          <w:bCs/>
          <w:color w:val="auto"/>
          <w:sz w:val="24"/>
          <w:szCs w:val="24"/>
          <w:lang w:val="en-US" w:eastAsia="zh-CN"/>
        </w:rPr>
        <w:t>》</w:t>
      </w:r>
      <w:r>
        <w:rPr>
          <w:rFonts w:hint="eastAsia" w:ascii="Times New Roman" w:hAnsi="Times New Roman" w:eastAsia="宋体" w:cs="Times New Roman"/>
          <w:b/>
          <w:bCs/>
          <w:color w:val="auto"/>
          <w:sz w:val="24"/>
          <w:szCs w:val="24"/>
          <w:lang w:val="en-US" w:eastAsia="zh-CN"/>
        </w:rPr>
        <w:t>设计</w:t>
      </w:r>
      <w:r>
        <w:rPr>
          <w:rFonts w:hint="default" w:ascii="Times New Roman" w:hAnsi="Times New Roman" w:eastAsia="宋体" w:cs="Times New Roman"/>
          <w:b/>
          <w:bCs/>
          <w:color w:val="auto"/>
          <w:sz w:val="24"/>
          <w:szCs w:val="24"/>
          <w:lang w:val="en-US" w:eastAsia="zh-CN"/>
        </w:rPr>
        <w:t>治理工程及完成情况</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eastAsia="宋体" w:cs="Times New Roman"/>
          <w:bCs/>
          <w:color w:val="auto"/>
          <w:sz w:val="24"/>
          <w:szCs w:val="24"/>
          <w:lang w:eastAsia="zh-CN"/>
        </w:rPr>
      </w:pPr>
      <w:r>
        <w:rPr>
          <w:rFonts w:hint="default" w:ascii="Times New Roman" w:hAnsi="Times New Roman" w:eastAsia="宋体" w:cs="Times New Roman"/>
          <w:bCs/>
          <w:color w:val="auto"/>
          <w:sz w:val="24"/>
          <w:szCs w:val="24"/>
          <w:lang w:val="en-US" w:eastAsia="zh-CN"/>
        </w:rPr>
        <w:t>202</w:t>
      </w:r>
      <w:r>
        <w:rPr>
          <w:rFonts w:hint="eastAsia" w:ascii="Times New Roman" w:hAnsi="Times New Roman" w:eastAsia="宋体" w:cs="Times New Roman"/>
          <w:bCs/>
          <w:color w:val="auto"/>
          <w:sz w:val="24"/>
          <w:szCs w:val="24"/>
          <w:lang w:val="en-US" w:eastAsia="zh-CN"/>
        </w:rPr>
        <w:t>3</w:t>
      </w:r>
      <w:r>
        <w:rPr>
          <w:rFonts w:hint="default" w:ascii="Times New Roman" w:hAnsi="Times New Roman" w:eastAsia="宋体" w:cs="Times New Roman"/>
          <w:bCs/>
          <w:color w:val="auto"/>
          <w:sz w:val="24"/>
          <w:szCs w:val="24"/>
          <w:lang w:val="en-US" w:eastAsia="zh-CN"/>
        </w:rPr>
        <w:t>年</w:t>
      </w:r>
      <w:r>
        <w:rPr>
          <w:rFonts w:hint="eastAsia" w:ascii="Times New Roman" w:hAnsi="Times New Roman" w:eastAsia="宋体" w:cs="Times New Roman"/>
          <w:bCs/>
          <w:color w:val="auto"/>
          <w:sz w:val="24"/>
          <w:szCs w:val="24"/>
          <w:lang w:val="en-US" w:eastAsia="zh-CN"/>
        </w:rPr>
        <w:t>3</w:t>
      </w:r>
      <w:r>
        <w:rPr>
          <w:rFonts w:hint="default" w:ascii="Times New Roman" w:hAnsi="Times New Roman" w:eastAsia="宋体" w:cs="Times New Roman"/>
          <w:bCs/>
          <w:color w:val="auto"/>
          <w:sz w:val="24"/>
          <w:szCs w:val="24"/>
          <w:lang w:val="en-US" w:eastAsia="zh-CN"/>
        </w:rPr>
        <w:t>月，由赤峰比尔商贸有限公司</w:t>
      </w:r>
      <w:r>
        <w:rPr>
          <w:rFonts w:hint="default" w:ascii="Times New Roman" w:hAnsi="Times New Roman" w:eastAsia="宋体" w:cs="Times New Roman"/>
          <w:bCs/>
          <w:color w:val="auto"/>
          <w:sz w:val="24"/>
          <w:szCs w:val="24"/>
          <w:lang w:eastAsia="zh-CN"/>
        </w:rPr>
        <w:t>提交的《</w:t>
      </w:r>
      <w:r>
        <w:rPr>
          <w:rFonts w:hint="default" w:ascii="Times New Roman" w:hAnsi="Times New Roman" w:eastAsia="宋体" w:cs="Times New Roman"/>
          <w:bCs/>
          <w:color w:val="auto"/>
          <w:sz w:val="24"/>
          <w:szCs w:val="24"/>
        </w:rPr>
        <w:t>赤峰市元宝山区美丽河镇大金沟村建筑用石玄武岩矿202</w:t>
      </w:r>
      <w:r>
        <w:rPr>
          <w:rFonts w:hint="eastAsia" w:ascii="Times New Roman" w:hAnsi="Times New Roman" w:eastAsia="宋体" w:cs="Times New Roman"/>
          <w:bCs/>
          <w:color w:val="auto"/>
          <w:sz w:val="24"/>
          <w:szCs w:val="24"/>
          <w:lang w:val="en-US" w:eastAsia="zh-CN"/>
        </w:rPr>
        <w:t>3</w:t>
      </w:r>
      <w:r>
        <w:rPr>
          <w:rFonts w:hint="default" w:ascii="Times New Roman" w:hAnsi="Times New Roman" w:eastAsia="宋体" w:cs="Times New Roman"/>
          <w:bCs/>
          <w:color w:val="auto"/>
          <w:sz w:val="24"/>
          <w:szCs w:val="24"/>
        </w:rPr>
        <w:t>年度矿山地质环境治理计划书</w:t>
      </w:r>
      <w:r>
        <w:rPr>
          <w:rFonts w:hint="default" w:ascii="Times New Roman" w:hAnsi="Times New Roman" w:eastAsia="宋体" w:cs="Times New Roman"/>
          <w:bCs/>
          <w:color w:val="auto"/>
          <w:sz w:val="24"/>
          <w:szCs w:val="24"/>
          <w:lang w:eastAsia="zh-CN"/>
        </w:rPr>
        <w:t>》</w:t>
      </w:r>
      <w:r>
        <w:rPr>
          <w:rFonts w:hint="eastAsia" w:eastAsia="宋体" w:cs="Times New Roman"/>
          <w:bCs/>
          <w:color w:val="auto"/>
          <w:sz w:val="24"/>
          <w:szCs w:val="24"/>
          <w:lang w:eastAsia="zh-CN"/>
        </w:rPr>
        <w:t>，设计治理内容为对</w:t>
      </w:r>
      <w:r>
        <w:rPr>
          <w:rFonts w:hint="eastAsia" w:eastAsia="宋体" w:cs="Times New Roman"/>
          <w:b w:val="0"/>
          <w:bCs w:val="0"/>
          <w:color w:val="auto"/>
          <w:sz w:val="24"/>
          <w:szCs w:val="24"/>
          <w:lang w:val="en-US" w:eastAsia="zh-CN"/>
        </w:rPr>
        <w:t>露天采场设置网围栏、警示牌；对露天采场超采区域进行修坡整形、覆土、恢复植被；对前期治理区工业场地1、工业场地2进行补植、替换。</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cs="Times New Roman"/>
          <w:color w:val="auto"/>
          <w:kern w:val="2"/>
          <w:sz w:val="24"/>
          <w:szCs w:val="24"/>
          <w:lang w:val="en-US" w:eastAsia="zh-CN" w:bidi="ar"/>
        </w:rPr>
      </w:pPr>
      <w:r>
        <w:rPr>
          <w:rFonts w:hint="default" w:ascii="Times New Roman" w:hAnsi="Times New Roman" w:eastAsia="宋体" w:cs="Times New Roman"/>
          <w:color w:val="auto"/>
          <w:kern w:val="2"/>
          <w:sz w:val="24"/>
          <w:szCs w:val="24"/>
          <w:highlight w:val="none"/>
          <w:lang w:val="en-US" w:eastAsia="zh-CN" w:bidi="ar"/>
        </w:rPr>
        <w:t>202</w:t>
      </w:r>
      <w:r>
        <w:rPr>
          <w:rFonts w:hint="eastAsia" w:ascii="Times New Roman" w:hAnsi="Times New Roman" w:eastAsia="宋体" w:cs="Times New Roman"/>
          <w:color w:val="auto"/>
          <w:kern w:val="2"/>
          <w:sz w:val="24"/>
          <w:szCs w:val="24"/>
          <w:highlight w:val="none"/>
          <w:lang w:val="en-US" w:eastAsia="zh-CN" w:bidi="ar"/>
        </w:rPr>
        <w:t>4</w:t>
      </w:r>
      <w:r>
        <w:rPr>
          <w:rFonts w:hint="default" w:ascii="Times New Roman" w:hAnsi="Times New Roman" w:eastAsia="宋体" w:cs="Times New Roman"/>
          <w:color w:val="auto"/>
          <w:kern w:val="2"/>
          <w:sz w:val="24"/>
          <w:szCs w:val="24"/>
          <w:highlight w:val="none"/>
          <w:lang w:val="en-US" w:eastAsia="zh-CN" w:bidi="ar"/>
        </w:rPr>
        <w:t>年</w:t>
      </w:r>
      <w:r>
        <w:rPr>
          <w:rFonts w:hint="eastAsia" w:ascii="Times New Roman" w:hAnsi="Times New Roman" w:eastAsia="宋体" w:cs="Times New Roman"/>
          <w:color w:val="auto"/>
          <w:kern w:val="2"/>
          <w:sz w:val="24"/>
          <w:szCs w:val="24"/>
          <w:highlight w:val="none"/>
          <w:lang w:val="en-US" w:eastAsia="zh-CN" w:bidi="ar"/>
        </w:rPr>
        <w:t>1</w:t>
      </w:r>
      <w:r>
        <w:rPr>
          <w:rFonts w:hint="default" w:ascii="Times New Roman" w:hAnsi="Times New Roman" w:eastAsia="宋体" w:cs="Times New Roman"/>
          <w:color w:val="auto"/>
          <w:kern w:val="2"/>
          <w:sz w:val="24"/>
          <w:szCs w:val="24"/>
          <w:highlight w:val="none"/>
          <w:lang w:val="en-US" w:eastAsia="zh-CN" w:bidi="ar"/>
        </w:rPr>
        <w:t>月，赤</w:t>
      </w:r>
      <w:r>
        <w:rPr>
          <w:rFonts w:hint="default" w:ascii="Times New Roman" w:hAnsi="Times New Roman" w:eastAsia="宋体" w:cs="Times New Roman"/>
          <w:color w:val="auto"/>
          <w:kern w:val="2"/>
          <w:sz w:val="24"/>
          <w:szCs w:val="24"/>
          <w:lang w:val="en-US" w:eastAsia="zh-CN" w:bidi="ar"/>
        </w:rPr>
        <w:t>峰市自然资源局</w:t>
      </w:r>
      <w:r>
        <w:rPr>
          <w:rFonts w:hint="eastAsia" w:ascii="Times New Roman" w:hAnsi="Times New Roman" w:eastAsia="宋体" w:cs="Times New Roman"/>
          <w:color w:val="auto"/>
          <w:kern w:val="2"/>
          <w:sz w:val="24"/>
          <w:szCs w:val="24"/>
          <w:lang w:val="en-US" w:eastAsia="zh-CN" w:bidi="ar"/>
        </w:rPr>
        <w:t>元宝山区</w:t>
      </w:r>
      <w:r>
        <w:rPr>
          <w:rFonts w:hint="default" w:ascii="Times New Roman" w:hAnsi="Times New Roman" w:eastAsia="宋体" w:cs="Times New Roman"/>
          <w:color w:val="auto"/>
          <w:kern w:val="2"/>
          <w:sz w:val="24"/>
          <w:szCs w:val="24"/>
          <w:lang w:val="en-US" w:eastAsia="zh-CN" w:bidi="ar"/>
        </w:rPr>
        <w:t>分局组织有关专家组成核查组对《</w:t>
      </w:r>
      <w:r>
        <w:rPr>
          <w:rFonts w:hint="default" w:ascii="Times New Roman" w:hAnsi="Times New Roman" w:eastAsia="宋体" w:cs="Times New Roman"/>
          <w:bCs/>
          <w:color w:val="auto"/>
          <w:sz w:val="24"/>
          <w:szCs w:val="24"/>
        </w:rPr>
        <w:t>赤峰市元宝山区美丽河镇大金沟村建筑用石玄武岩矿202</w:t>
      </w:r>
      <w:r>
        <w:rPr>
          <w:rFonts w:hint="eastAsia" w:ascii="Times New Roman" w:hAnsi="Times New Roman" w:eastAsia="宋体" w:cs="Times New Roman"/>
          <w:bCs/>
          <w:color w:val="auto"/>
          <w:sz w:val="24"/>
          <w:szCs w:val="24"/>
          <w:lang w:val="en-US" w:eastAsia="zh-CN"/>
        </w:rPr>
        <w:t>3</w:t>
      </w:r>
      <w:r>
        <w:rPr>
          <w:rFonts w:hint="default" w:ascii="Times New Roman" w:hAnsi="Times New Roman" w:eastAsia="宋体" w:cs="Times New Roman"/>
          <w:bCs/>
          <w:color w:val="auto"/>
          <w:sz w:val="24"/>
          <w:szCs w:val="24"/>
        </w:rPr>
        <w:t>年度矿山地质环境治理计划书</w:t>
      </w:r>
      <w:r>
        <w:rPr>
          <w:rFonts w:hint="default" w:ascii="Times New Roman" w:hAnsi="Times New Roman" w:eastAsia="宋体" w:cs="Times New Roman"/>
          <w:color w:val="auto"/>
          <w:kern w:val="2"/>
          <w:sz w:val="24"/>
          <w:szCs w:val="24"/>
          <w:lang w:val="en-US" w:eastAsia="zh-CN" w:bidi="ar"/>
        </w:rPr>
        <w:t>》执行情况进行</w:t>
      </w:r>
      <w:r>
        <w:rPr>
          <w:rFonts w:hint="eastAsia" w:cs="Times New Roman"/>
          <w:color w:val="auto"/>
          <w:kern w:val="2"/>
          <w:sz w:val="24"/>
          <w:szCs w:val="24"/>
          <w:lang w:val="en-US" w:eastAsia="zh-CN" w:bidi="ar"/>
        </w:rPr>
        <w:t>了</w:t>
      </w:r>
      <w:r>
        <w:rPr>
          <w:rFonts w:hint="default" w:ascii="Times New Roman" w:hAnsi="Times New Roman" w:eastAsia="宋体" w:cs="Times New Roman"/>
          <w:color w:val="auto"/>
          <w:kern w:val="2"/>
          <w:sz w:val="24"/>
          <w:szCs w:val="24"/>
          <w:lang w:val="en-US" w:eastAsia="zh-CN" w:bidi="ar"/>
        </w:rPr>
        <w:t>现场核查</w:t>
      </w:r>
      <w:r>
        <w:rPr>
          <w:rFonts w:hint="eastAsia" w:cs="Times New Roman"/>
          <w:color w:val="auto"/>
          <w:kern w:val="2"/>
          <w:sz w:val="24"/>
          <w:szCs w:val="24"/>
          <w:lang w:val="en-US" w:eastAsia="zh-CN" w:bidi="ar"/>
        </w:rPr>
        <w:t>。</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 w:val="0"/>
          <w:bCs w:val="0"/>
          <w:color w:val="auto"/>
          <w:sz w:val="24"/>
          <w:szCs w:val="24"/>
        </w:rPr>
      </w:pPr>
      <w:r>
        <w:rPr>
          <w:rFonts w:hint="eastAsia" w:cs="Times New Roman"/>
          <w:color w:val="auto"/>
          <w:kern w:val="2"/>
          <w:sz w:val="24"/>
          <w:szCs w:val="24"/>
          <w:lang w:val="en-US" w:eastAsia="zh-CN" w:bidi="ar"/>
        </w:rPr>
        <w:t>经</w:t>
      </w:r>
      <w:r>
        <w:rPr>
          <w:rFonts w:hint="default" w:ascii="Times New Roman" w:hAnsi="Times New Roman" w:eastAsia="宋体" w:cs="Times New Roman"/>
          <w:color w:val="auto"/>
          <w:kern w:val="2"/>
          <w:sz w:val="24"/>
          <w:szCs w:val="24"/>
          <w:lang w:val="en-US" w:eastAsia="zh-CN" w:bidi="ar"/>
        </w:rPr>
        <w:t>现场核查，矿山完成了</w:t>
      </w:r>
      <w:r>
        <w:rPr>
          <w:rFonts w:hint="eastAsia" w:ascii="Times New Roman" w:hAnsi="Times New Roman" w:eastAsia="宋体" w:cs="Times New Roman"/>
          <w:color w:val="auto"/>
          <w:kern w:val="2"/>
          <w:sz w:val="24"/>
          <w:szCs w:val="24"/>
          <w:lang w:val="en-US" w:eastAsia="zh-CN" w:bidi="ar"/>
        </w:rPr>
        <w:t>对</w:t>
      </w:r>
      <w:r>
        <w:rPr>
          <w:rFonts w:hint="eastAsia" w:eastAsia="宋体" w:cs="Times New Roman"/>
          <w:b w:val="0"/>
          <w:bCs w:val="0"/>
          <w:color w:val="auto"/>
          <w:sz w:val="24"/>
          <w:szCs w:val="24"/>
          <w:lang w:val="en-US" w:eastAsia="zh-CN"/>
        </w:rPr>
        <w:t>露天采场超采区域削坡、覆土、恢复植被</w:t>
      </w:r>
      <w:r>
        <w:rPr>
          <w:rFonts w:hint="eastAsia" w:ascii="Times New Roman" w:hAnsi="Times New Roman" w:eastAsia="宋体" w:cs="Times New Roman"/>
          <w:color w:val="auto"/>
          <w:kern w:val="2"/>
          <w:sz w:val="24"/>
          <w:szCs w:val="24"/>
          <w:lang w:val="en-US" w:eastAsia="zh-CN" w:bidi="ar"/>
        </w:rPr>
        <w:t>工程，治理单元地貌景观与周边地形协调。</w:t>
      </w:r>
      <w:r>
        <w:rPr>
          <w:rFonts w:hint="default" w:ascii="Times New Roman" w:hAnsi="Times New Roman" w:eastAsia="宋体" w:cs="Times New Roman"/>
          <w:bCs/>
          <w:color w:val="auto"/>
          <w:sz w:val="24"/>
          <w:szCs w:val="24"/>
        </w:rPr>
        <w:t>赤峰市元宝山区美丽河镇大金沟村建筑用石玄武岩矿</w:t>
      </w:r>
      <w:r>
        <w:rPr>
          <w:rFonts w:hint="eastAsia" w:ascii="Times New Roman" w:hAnsi="Times New Roman" w:eastAsia="宋体" w:cs="Times New Roman"/>
          <w:color w:val="auto"/>
          <w:kern w:val="2"/>
          <w:sz w:val="24"/>
          <w:szCs w:val="24"/>
          <w:lang w:val="en-US" w:eastAsia="zh-CN" w:bidi="ar"/>
        </w:rPr>
        <w:t>2023</w:t>
      </w:r>
      <w:r>
        <w:rPr>
          <w:rFonts w:hint="default" w:ascii="Times New Roman" w:hAnsi="Times New Roman" w:eastAsia="宋体" w:cs="Times New Roman"/>
          <w:color w:val="auto"/>
          <w:kern w:val="2"/>
          <w:sz w:val="24"/>
          <w:szCs w:val="24"/>
          <w:lang w:val="en-US" w:eastAsia="zh-CN" w:bidi="ar"/>
        </w:rPr>
        <w:t>年度矿山地质环境治理</w:t>
      </w:r>
      <w:r>
        <w:rPr>
          <w:rFonts w:hint="eastAsia" w:cs="Times New Roman"/>
          <w:color w:val="auto"/>
          <w:kern w:val="2"/>
          <w:sz w:val="24"/>
          <w:szCs w:val="24"/>
          <w:lang w:val="en-US" w:eastAsia="zh-CN" w:bidi="ar"/>
        </w:rPr>
        <w:t>工程通过了专家组的核查</w:t>
      </w:r>
      <w:r>
        <w:rPr>
          <w:rFonts w:hint="default" w:ascii="Times New Roman" w:hAnsi="Times New Roman" w:eastAsia="宋体" w:cs="Times New Roman"/>
          <w:color w:val="auto"/>
          <w:kern w:val="2"/>
          <w:sz w:val="24"/>
          <w:szCs w:val="24"/>
          <w:lang w:val="en-US" w:eastAsia="zh-CN" w:bidi="ar"/>
        </w:rPr>
        <w:t>。</w:t>
      </w:r>
    </w:p>
    <w:p>
      <w:pPr>
        <w:rPr>
          <w:rFonts w:hint="default" w:ascii="Times New Roman" w:hAnsi="Times New Roman" w:eastAsia="宋体" w:cs="Times New Roman"/>
          <w:b/>
          <w:bCs/>
          <w:color w:val="auto"/>
          <w:sz w:val="36"/>
          <w:szCs w:val="36"/>
          <w:lang w:val="en-US" w:eastAsia="zh-CN"/>
        </w:rPr>
      </w:pPr>
      <w:r>
        <w:rPr>
          <w:rFonts w:hint="default" w:ascii="Times New Roman" w:hAnsi="Times New Roman" w:eastAsia="宋体" w:cs="Times New Roman"/>
          <w:b/>
          <w:bCs/>
          <w:color w:val="auto"/>
          <w:sz w:val="36"/>
          <w:szCs w:val="36"/>
          <w:lang w:val="en-US" w:eastAsia="zh-CN"/>
        </w:rPr>
        <w:br w:type="page"/>
      </w:r>
    </w:p>
    <w:p>
      <w:pPr>
        <w:keepNext w:val="0"/>
        <w:keepLines w:val="0"/>
        <w:pageBreakBefore w:val="0"/>
        <w:widowControl/>
        <w:numPr>
          <w:ilvl w:val="0"/>
          <w:numId w:val="1"/>
        </w:numPr>
        <w:kinsoku/>
        <w:wordWrap/>
        <w:overflowPunct/>
        <w:topLinePunct w:val="0"/>
        <w:autoSpaceDE/>
        <w:autoSpaceDN/>
        <w:bidi w:val="0"/>
        <w:adjustRightInd w:val="0"/>
        <w:snapToGrid w:val="0"/>
        <w:spacing w:line="360" w:lineRule="auto"/>
        <w:ind w:left="0" w:leftChars="0" w:firstLine="0" w:firstLineChars="0"/>
        <w:jc w:val="center"/>
        <w:textAlignment w:val="auto"/>
        <w:outlineLvl w:val="0"/>
        <w:rPr>
          <w:rFonts w:hint="default" w:ascii="Times New Roman" w:hAnsi="Times New Roman" w:eastAsia="宋体" w:cs="Times New Roman"/>
          <w:b/>
          <w:bCs/>
          <w:color w:val="auto"/>
          <w:sz w:val="36"/>
          <w:szCs w:val="36"/>
          <w:lang w:val="en-US" w:eastAsia="zh-CN"/>
        </w:rPr>
      </w:pPr>
      <w:r>
        <w:rPr>
          <w:rFonts w:hint="default" w:ascii="Times New Roman" w:hAnsi="Times New Roman" w:eastAsia="宋体" w:cs="Times New Roman"/>
          <w:b/>
          <w:bCs/>
          <w:color w:val="auto"/>
          <w:sz w:val="32"/>
          <w:szCs w:val="32"/>
          <w:lang w:val="en-US" w:eastAsia="zh-CN"/>
        </w:rPr>
        <w:t xml:space="preserve"> </w:t>
      </w:r>
      <w:bookmarkStart w:id="18" w:name="_Toc17435"/>
      <w:bookmarkStart w:id="19" w:name="_Toc27316"/>
      <w:bookmarkStart w:id="20" w:name="_Toc14249"/>
      <w:bookmarkStart w:id="21" w:name="_Toc14886"/>
      <w:r>
        <w:rPr>
          <w:rFonts w:hint="default" w:ascii="Times New Roman" w:hAnsi="Times New Roman" w:eastAsia="宋体" w:cs="Times New Roman"/>
          <w:b/>
          <w:bCs/>
          <w:color w:val="auto"/>
          <w:sz w:val="32"/>
          <w:szCs w:val="32"/>
          <w:lang w:val="en-US" w:eastAsia="zh-CN"/>
        </w:rPr>
        <w:t>本年度矿山生产计划</w:t>
      </w:r>
      <w:bookmarkEnd w:id="18"/>
      <w:bookmarkEnd w:id="19"/>
      <w:bookmarkEnd w:id="20"/>
      <w:bookmarkEnd w:id="21"/>
    </w:p>
    <w:p>
      <w:pPr>
        <w:keepNext w:val="0"/>
        <w:keepLines w:val="0"/>
        <w:pageBreakBefore w:val="0"/>
        <w:numPr>
          <w:ilvl w:val="0"/>
          <w:numId w:val="0"/>
        </w:numPr>
        <w:kinsoku/>
        <w:overflowPunct/>
        <w:topLinePunct w:val="0"/>
        <w:autoSpaceDE/>
        <w:autoSpaceDN/>
        <w:bidi w:val="0"/>
        <w:spacing w:line="360" w:lineRule="auto"/>
        <w:jc w:val="both"/>
        <w:textAlignment w:val="auto"/>
        <w:outlineLvl w:val="1"/>
        <w:rPr>
          <w:rFonts w:hint="default" w:ascii="Times New Roman" w:hAnsi="Times New Roman" w:eastAsia="宋体" w:cs="Times New Roman"/>
          <w:b/>
          <w:bCs/>
          <w:color w:val="auto"/>
          <w:sz w:val="28"/>
          <w:szCs w:val="28"/>
          <w:lang w:val="en-US" w:eastAsia="zh-CN"/>
        </w:rPr>
      </w:pPr>
      <w:bookmarkStart w:id="22" w:name="_Toc28757"/>
      <w:bookmarkStart w:id="23" w:name="_Toc7893"/>
      <w:bookmarkStart w:id="24" w:name="_Toc8282"/>
      <w:bookmarkStart w:id="25" w:name="_Toc17686"/>
      <w:bookmarkStart w:id="26" w:name="_Toc28046"/>
      <w:bookmarkStart w:id="27" w:name="_Toc32063"/>
      <w:r>
        <w:rPr>
          <w:rFonts w:hint="default" w:ascii="Times New Roman" w:hAnsi="Times New Roman" w:eastAsia="宋体" w:cs="Times New Roman"/>
          <w:b/>
          <w:bCs/>
          <w:color w:val="auto"/>
          <w:sz w:val="28"/>
          <w:szCs w:val="28"/>
          <w:lang w:val="en-US" w:eastAsia="zh-CN"/>
        </w:rPr>
        <w:t>一、本年度的主要生产指标计划</w:t>
      </w:r>
      <w:bookmarkEnd w:id="22"/>
      <w:bookmarkEnd w:id="23"/>
      <w:bookmarkEnd w:id="24"/>
      <w:bookmarkEnd w:id="25"/>
      <w:bookmarkEnd w:id="26"/>
      <w:bookmarkEnd w:id="27"/>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lang w:val="en-US" w:eastAsia="zh-CN"/>
        </w:rPr>
      </w:pPr>
      <w:bookmarkStart w:id="28" w:name="_Toc8512"/>
      <w:r>
        <w:rPr>
          <w:rFonts w:hint="default" w:ascii="Times New Roman" w:hAnsi="Times New Roman" w:eastAsia="宋体" w:cs="Times New Roman"/>
          <w:bCs/>
          <w:color w:val="auto"/>
          <w:sz w:val="24"/>
          <w:szCs w:val="24"/>
        </w:rPr>
        <w:t>赤峰市元宝山区美丽河镇大金沟村建筑用石玄武岩矿</w:t>
      </w:r>
      <w:r>
        <w:rPr>
          <w:rFonts w:hint="eastAsia" w:ascii="Times New Roman" w:hAnsi="Times New Roman" w:eastAsia="宋体" w:cs="Times New Roman"/>
          <w:bCs/>
          <w:color w:val="auto"/>
          <w:sz w:val="24"/>
          <w:szCs w:val="24"/>
          <w:lang w:val="en-US" w:eastAsia="zh-CN"/>
        </w:rPr>
        <w:t>史建于2016年，</w:t>
      </w:r>
      <w:r>
        <w:rPr>
          <w:rFonts w:hint="default" w:ascii="Times New Roman" w:hAnsi="Times New Roman" w:eastAsia="宋体" w:cs="Times New Roman"/>
          <w:color w:val="auto"/>
          <w:sz w:val="24"/>
          <w:szCs w:val="24"/>
        </w:rPr>
        <w:t>20</w:t>
      </w:r>
      <w:r>
        <w:rPr>
          <w:rFonts w:hint="eastAsia" w:ascii="Times New Roman" w:hAnsi="Times New Roman" w:eastAsia="宋体" w:cs="Times New Roman"/>
          <w:color w:val="auto"/>
          <w:sz w:val="24"/>
          <w:szCs w:val="24"/>
          <w:lang w:val="en-US" w:eastAsia="zh-CN"/>
        </w:rPr>
        <w:t>21</w:t>
      </w:r>
      <w:r>
        <w:rPr>
          <w:rFonts w:hint="default" w:ascii="Times New Roman" w:hAnsi="Times New Roman" w:eastAsia="宋体" w:cs="Times New Roman"/>
          <w:color w:val="auto"/>
          <w:sz w:val="24"/>
          <w:szCs w:val="24"/>
        </w:rPr>
        <w:t>年至今处于停产状态</w:t>
      </w:r>
      <w:r>
        <w:rPr>
          <w:rFonts w:hint="default"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矿山现持有的采矿证已过期，</w:t>
      </w:r>
      <w:r>
        <w:rPr>
          <w:rFonts w:hint="default" w:ascii="Times New Roman" w:hAnsi="Times New Roman" w:eastAsia="宋体" w:cs="Times New Roman"/>
          <w:bCs/>
          <w:color w:val="auto"/>
          <w:sz w:val="24"/>
          <w:szCs w:val="24"/>
          <w:lang w:val="en-US" w:eastAsia="zh-CN"/>
        </w:rPr>
        <w:t>赤峰比尔商贸有限公司</w:t>
      </w:r>
      <w:r>
        <w:rPr>
          <w:rFonts w:hint="eastAsia" w:ascii="Times New Roman" w:hAnsi="Times New Roman" w:eastAsia="宋体" w:cs="Times New Roman"/>
          <w:bCs/>
          <w:color w:val="auto"/>
          <w:sz w:val="24"/>
          <w:szCs w:val="24"/>
          <w:lang w:val="en-US" w:eastAsia="zh-CN"/>
        </w:rPr>
        <w:t>本年度的工作重点是</w:t>
      </w:r>
      <w:r>
        <w:rPr>
          <w:rFonts w:hint="default" w:ascii="Times New Roman" w:hAnsi="Times New Roman" w:eastAsia="宋体" w:cs="Times New Roman"/>
          <w:color w:val="auto"/>
          <w:sz w:val="24"/>
          <w:szCs w:val="24"/>
          <w:lang w:val="en-US" w:eastAsia="zh-CN"/>
        </w:rPr>
        <w:t>继续办理与采矿权相关的前期工作，延续采矿许可证</w:t>
      </w:r>
      <w:r>
        <w:rPr>
          <w:rFonts w:hint="eastAsia" w:ascii="Times New Roman" w:hAnsi="Times New Roman" w:eastAsia="宋体" w:cs="Times New Roman"/>
          <w:color w:val="auto"/>
          <w:sz w:val="24"/>
          <w:szCs w:val="24"/>
          <w:lang w:val="en-US" w:eastAsia="zh-CN"/>
        </w:rPr>
        <w:t>。</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szCs w:val="24"/>
          <w:lang w:val="en-US" w:eastAsia="zh-CN"/>
        </w:rPr>
        <w:t>因此</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bCs/>
          <w:color w:val="auto"/>
          <w:sz w:val="24"/>
          <w:szCs w:val="24"/>
        </w:rPr>
        <w:t>赤峰市元宝山区美丽河镇大金沟村建筑用石玄武岩矿</w:t>
      </w:r>
      <w:r>
        <w:rPr>
          <w:rFonts w:hint="default" w:ascii="Times New Roman" w:hAnsi="Times New Roman" w:eastAsia="宋体" w:cs="Times New Roman"/>
          <w:color w:val="auto"/>
          <w:sz w:val="24"/>
          <w:szCs w:val="24"/>
          <w:lang w:val="en-US" w:eastAsia="zh-CN"/>
        </w:rPr>
        <w:t>2024年度无生产与矿山基础设施建设计划。</w:t>
      </w:r>
    </w:p>
    <w:p>
      <w:pPr>
        <w:numPr>
          <w:ilvl w:val="0"/>
          <w:numId w:val="0"/>
        </w:numPr>
        <w:spacing w:line="360" w:lineRule="auto"/>
        <w:ind w:leftChars="0"/>
        <w:jc w:val="both"/>
        <w:outlineLvl w:val="1"/>
        <w:rPr>
          <w:rFonts w:hint="default" w:ascii="Times New Roman" w:hAnsi="Times New Roman" w:eastAsia="宋体" w:cs="Times New Roman"/>
          <w:b/>
          <w:bCs/>
          <w:color w:val="auto"/>
          <w:sz w:val="28"/>
          <w:szCs w:val="28"/>
          <w:lang w:val="en-US" w:eastAsia="zh-CN"/>
        </w:rPr>
      </w:pPr>
      <w:bookmarkStart w:id="29" w:name="_Toc18165"/>
      <w:bookmarkStart w:id="30" w:name="_Toc18505"/>
      <w:bookmarkStart w:id="31" w:name="_Toc7751"/>
      <w:bookmarkStart w:id="32" w:name="_Toc733"/>
      <w:bookmarkStart w:id="33" w:name="_Toc24748"/>
      <w:r>
        <w:rPr>
          <w:rFonts w:hint="default" w:ascii="Times New Roman" w:hAnsi="Times New Roman" w:eastAsia="宋体" w:cs="Times New Roman"/>
          <w:b/>
          <w:bCs/>
          <w:color w:val="auto"/>
          <w:sz w:val="28"/>
          <w:szCs w:val="28"/>
          <w:lang w:val="en-US" w:eastAsia="zh-CN"/>
        </w:rPr>
        <w:t>二</w:t>
      </w:r>
      <w:r>
        <w:rPr>
          <w:rFonts w:hint="eastAsia" w:ascii="Times New Roman" w:hAnsi="Times New Roman" w:eastAsia="宋体" w:cs="Times New Roman"/>
          <w:b/>
          <w:bCs/>
          <w:color w:val="auto"/>
          <w:sz w:val="28"/>
          <w:szCs w:val="28"/>
          <w:lang w:val="en-US" w:eastAsia="zh-CN"/>
        </w:rPr>
        <w:t>、</w:t>
      </w:r>
      <w:r>
        <w:rPr>
          <w:rFonts w:hint="default" w:ascii="Times New Roman" w:hAnsi="Times New Roman" w:eastAsia="宋体" w:cs="Times New Roman"/>
          <w:b/>
          <w:bCs/>
          <w:color w:val="auto"/>
          <w:sz w:val="28"/>
          <w:szCs w:val="28"/>
          <w:lang w:val="en-US" w:eastAsia="zh-CN"/>
        </w:rPr>
        <w:t>开采范围</w:t>
      </w:r>
      <w:bookmarkEnd w:id="28"/>
      <w:bookmarkEnd w:id="29"/>
      <w:bookmarkEnd w:id="30"/>
      <w:bookmarkEnd w:id="31"/>
      <w:bookmarkEnd w:id="32"/>
      <w:bookmarkEnd w:id="33"/>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rPr>
      </w:pPr>
      <w:r>
        <w:rPr>
          <w:rFonts w:hint="eastAsia" w:cs="Times New Roman"/>
          <w:color w:val="auto"/>
          <w:sz w:val="24"/>
          <w:lang w:val="en-US" w:eastAsia="zh-CN"/>
        </w:rPr>
        <w:t>鉴于</w:t>
      </w:r>
      <w:r>
        <w:rPr>
          <w:rFonts w:hint="default" w:ascii="Times New Roman" w:hAnsi="Times New Roman" w:eastAsia="宋体" w:cs="Times New Roman"/>
          <w:bCs/>
          <w:color w:val="auto"/>
          <w:sz w:val="24"/>
          <w:szCs w:val="24"/>
        </w:rPr>
        <w:t>赤峰市元宝山区美丽河镇大金沟村建筑用石玄武岩矿</w:t>
      </w:r>
      <w:r>
        <w:rPr>
          <w:rFonts w:hint="eastAsia" w:cs="Times New Roman"/>
          <w:color w:val="auto"/>
          <w:sz w:val="24"/>
          <w:szCs w:val="24"/>
          <w:lang w:val="en-US" w:eastAsia="zh-CN"/>
        </w:rPr>
        <w:t>2024</w:t>
      </w:r>
      <w:r>
        <w:rPr>
          <w:rFonts w:hint="default" w:ascii="Times New Roman" w:hAnsi="Times New Roman" w:eastAsia="宋体" w:cs="Times New Roman"/>
          <w:color w:val="auto"/>
          <w:sz w:val="24"/>
          <w:szCs w:val="24"/>
          <w:lang w:val="en-US" w:eastAsia="zh-CN"/>
        </w:rPr>
        <w:t>年度</w:t>
      </w:r>
      <w:r>
        <w:rPr>
          <w:rFonts w:hint="eastAsia" w:cs="Times New Roman"/>
          <w:color w:val="auto"/>
          <w:sz w:val="24"/>
          <w:szCs w:val="24"/>
          <w:lang w:val="en-US" w:eastAsia="zh-CN"/>
        </w:rPr>
        <w:t>无生产与矿山基础设施建设计划，相关内容略。</w:t>
      </w:r>
    </w:p>
    <w:p>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color w:val="auto"/>
          <w:sz w:val="24"/>
          <w:szCs w:val="24"/>
        </w:rPr>
      </w:pPr>
    </w:p>
    <w:p>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color w:val="auto"/>
          <w:sz w:val="24"/>
          <w:szCs w:val="24"/>
        </w:rPr>
      </w:pPr>
    </w:p>
    <w:p>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color w:val="auto"/>
          <w:sz w:val="24"/>
          <w:szCs w:val="24"/>
        </w:rPr>
      </w:pPr>
    </w:p>
    <w:p>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sz w:val="24"/>
          <w:szCs w:val="24"/>
        </w:rPr>
        <w:br w:type="page"/>
      </w:r>
    </w:p>
    <w:p>
      <w:pPr>
        <w:keepNext w:val="0"/>
        <w:keepLines w:val="0"/>
        <w:pageBreakBefore w:val="0"/>
        <w:widowControl/>
        <w:numPr>
          <w:ilvl w:val="0"/>
          <w:numId w:val="1"/>
        </w:numPr>
        <w:kinsoku/>
        <w:wordWrap/>
        <w:overflowPunct/>
        <w:topLinePunct w:val="0"/>
        <w:autoSpaceDE/>
        <w:autoSpaceDN/>
        <w:bidi w:val="0"/>
        <w:adjustRightInd w:val="0"/>
        <w:snapToGrid w:val="0"/>
        <w:spacing w:line="480" w:lineRule="auto"/>
        <w:ind w:left="0" w:leftChars="0" w:firstLine="0" w:firstLineChars="0"/>
        <w:jc w:val="center"/>
        <w:textAlignment w:val="auto"/>
        <w:outlineLvl w:val="0"/>
        <w:rPr>
          <w:rFonts w:hint="default" w:ascii="Times New Roman" w:hAnsi="Times New Roman" w:eastAsia="宋体" w:cs="Times New Roman"/>
          <w:b/>
          <w:bCs/>
          <w:color w:val="auto"/>
          <w:sz w:val="36"/>
          <w:szCs w:val="36"/>
          <w:lang w:val="en-US" w:eastAsia="zh-CN"/>
        </w:rPr>
      </w:pPr>
      <w:r>
        <w:rPr>
          <w:rFonts w:hint="default" w:ascii="Times New Roman" w:hAnsi="Times New Roman" w:eastAsia="宋体" w:cs="Times New Roman"/>
          <w:b/>
          <w:bCs/>
          <w:color w:val="auto"/>
          <w:sz w:val="36"/>
          <w:szCs w:val="36"/>
          <w:lang w:val="en-US" w:eastAsia="zh-CN"/>
        </w:rPr>
        <w:t xml:space="preserve"> </w:t>
      </w:r>
      <w:bookmarkStart w:id="34" w:name="_Toc14353"/>
      <w:bookmarkStart w:id="35" w:name="_Toc30181"/>
      <w:bookmarkStart w:id="36" w:name="_Toc20307"/>
      <w:bookmarkStart w:id="37" w:name="_Toc2840"/>
      <w:r>
        <w:rPr>
          <w:rFonts w:hint="default" w:ascii="Times New Roman" w:hAnsi="Times New Roman" w:eastAsia="宋体" w:cs="Times New Roman"/>
          <w:b/>
          <w:bCs/>
          <w:color w:val="auto"/>
          <w:sz w:val="32"/>
          <w:szCs w:val="32"/>
          <w:lang w:val="en-US" w:eastAsia="zh-CN"/>
        </w:rPr>
        <w:t>矿山地质环境问题</w:t>
      </w:r>
      <w:bookmarkEnd w:id="34"/>
      <w:bookmarkEnd w:id="35"/>
      <w:bookmarkEnd w:id="36"/>
      <w:bookmarkEnd w:id="37"/>
    </w:p>
    <w:p>
      <w:pPr>
        <w:numPr>
          <w:ilvl w:val="0"/>
          <w:numId w:val="0"/>
        </w:numPr>
        <w:spacing w:line="360" w:lineRule="auto"/>
        <w:jc w:val="both"/>
        <w:outlineLvl w:val="1"/>
        <w:rPr>
          <w:rFonts w:hint="default" w:ascii="Times New Roman" w:hAnsi="Times New Roman" w:eastAsia="宋体" w:cs="Times New Roman"/>
          <w:b/>
          <w:bCs/>
          <w:color w:val="auto"/>
          <w:sz w:val="32"/>
          <w:szCs w:val="32"/>
          <w:lang w:val="en-US" w:eastAsia="zh-CN"/>
        </w:rPr>
      </w:pPr>
      <w:bookmarkStart w:id="38" w:name="_Toc12987"/>
      <w:bookmarkStart w:id="39" w:name="_Toc1466"/>
      <w:bookmarkStart w:id="40" w:name="_Toc10938"/>
      <w:bookmarkStart w:id="41" w:name="_Toc30491"/>
      <w:r>
        <w:rPr>
          <w:rFonts w:hint="eastAsia" w:eastAsia="宋体" w:cs="Times New Roman"/>
          <w:b/>
          <w:bCs/>
          <w:color w:val="auto"/>
          <w:sz w:val="28"/>
          <w:szCs w:val="28"/>
          <w:lang w:val="en-US" w:eastAsia="zh-CN"/>
        </w:rPr>
        <w:t>一、</w:t>
      </w:r>
      <w:r>
        <w:rPr>
          <w:rFonts w:hint="default" w:ascii="Times New Roman" w:hAnsi="Times New Roman" w:eastAsia="宋体" w:cs="Times New Roman"/>
          <w:b/>
          <w:bCs/>
          <w:color w:val="auto"/>
          <w:sz w:val="28"/>
          <w:szCs w:val="28"/>
          <w:lang w:val="en-US" w:eastAsia="zh-CN"/>
        </w:rPr>
        <w:t>矿山地质环境问题现状</w:t>
      </w:r>
      <w:bookmarkEnd w:id="38"/>
      <w:bookmarkEnd w:id="39"/>
      <w:bookmarkEnd w:id="40"/>
      <w:bookmarkEnd w:id="41"/>
    </w:p>
    <w:p>
      <w:pPr>
        <w:pStyle w:val="25"/>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bCs/>
          <w:color w:val="auto"/>
          <w:sz w:val="24"/>
          <w:szCs w:val="24"/>
        </w:rPr>
        <w:t>赤峰市元宝山区美丽河镇大金沟村建筑用石玄武岩</w:t>
      </w:r>
      <w:r>
        <w:rPr>
          <w:rFonts w:hint="default" w:ascii="Times New Roman" w:hAnsi="Times New Roman" w:eastAsia="宋体" w:cs="Times New Roman"/>
          <w:color w:val="auto"/>
          <w:sz w:val="24"/>
          <w:szCs w:val="24"/>
        </w:rPr>
        <w:t>矿属于</w:t>
      </w:r>
      <w:r>
        <w:rPr>
          <w:rFonts w:hint="default" w:ascii="Times New Roman" w:hAnsi="Times New Roman" w:eastAsia="宋体" w:cs="Times New Roman"/>
          <w:color w:val="auto"/>
          <w:kern w:val="2"/>
          <w:sz w:val="24"/>
          <w:szCs w:val="24"/>
          <w:lang w:val="en-US" w:eastAsia="zh-CN" w:bidi="ar"/>
        </w:rPr>
        <w:t>生产矿山（现状停产）</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kern w:val="2"/>
          <w:sz w:val="24"/>
          <w:szCs w:val="24"/>
          <w:lang w:val="en-US" w:eastAsia="zh-CN" w:bidi="ar"/>
        </w:rPr>
        <w:t>根据现场调查，矿山现状形成影响矿山地质环境的区域包括：</w:t>
      </w:r>
      <w:r>
        <w:rPr>
          <w:rFonts w:hint="default" w:ascii="Times New Roman" w:hAnsi="Times New Roman" w:eastAsia="宋体" w:cs="Times New Roman"/>
          <w:color w:val="auto"/>
          <w:sz w:val="24"/>
          <w:szCs w:val="24"/>
        </w:rPr>
        <w:t>露天采场、</w:t>
      </w:r>
      <w:r>
        <w:rPr>
          <w:rFonts w:hint="default" w:ascii="Times New Roman" w:hAnsi="Times New Roman" w:eastAsia="宋体" w:cs="Times New Roman"/>
          <w:color w:val="auto"/>
          <w:sz w:val="24"/>
          <w:szCs w:val="24"/>
          <w:lang w:eastAsia="zh-CN"/>
        </w:rPr>
        <w:t>办公生活区、料堆和</w:t>
      </w:r>
      <w:r>
        <w:rPr>
          <w:rFonts w:hint="default" w:ascii="Times New Roman" w:hAnsi="Times New Roman" w:eastAsia="宋体" w:cs="Times New Roman"/>
          <w:color w:val="auto"/>
          <w:sz w:val="24"/>
          <w:szCs w:val="24"/>
        </w:rPr>
        <w:t>矿区道路。</w:t>
      </w:r>
      <w:r>
        <w:rPr>
          <w:rFonts w:hint="default" w:ascii="Times New Roman" w:hAnsi="Times New Roman" w:eastAsia="宋体" w:cs="Times New Roman"/>
          <w:b w:val="0"/>
          <w:bCs w:val="0"/>
          <w:color w:val="auto"/>
          <w:sz w:val="24"/>
          <w:szCs w:val="24"/>
          <w:lang w:val="en-US" w:eastAsia="zh-CN"/>
        </w:rPr>
        <w:t>各单元按照现状条件下各破坏单元从矿山地质灾害现状、含水层破坏现状、地形地貌景观影响现状及土地资源影响现状四个方面进行叙述：</w:t>
      </w:r>
    </w:p>
    <w:p>
      <w:pPr>
        <w:keepNext w:val="0"/>
        <w:keepLines w:val="0"/>
        <w:pageBreakBefore w:val="0"/>
        <w:widowControl/>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b/>
          <w:bCs w:val="0"/>
          <w:color w:val="auto"/>
          <w:sz w:val="24"/>
          <w:szCs w:val="24"/>
          <w:highlight w:val="none"/>
        </w:rPr>
        <w:t>1、</w:t>
      </w:r>
      <w:r>
        <w:rPr>
          <w:rFonts w:hint="default" w:ascii="Times New Roman" w:hAnsi="Times New Roman" w:eastAsia="宋体" w:cs="Times New Roman"/>
          <w:b/>
          <w:bCs w:val="0"/>
          <w:color w:val="auto"/>
          <w:sz w:val="24"/>
          <w:szCs w:val="24"/>
          <w:highlight w:val="none"/>
          <w:lang w:eastAsia="zh-CN"/>
        </w:rPr>
        <w:t>露天采场</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（1）地质灾害现状</w:t>
      </w:r>
    </w:p>
    <w:p>
      <w:pPr>
        <w:adjustRightInd w:val="0"/>
        <w:snapToGrid w:val="0"/>
        <w:spacing w:after="0" w:line="360" w:lineRule="auto"/>
        <w:ind w:firstLine="480" w:firstLineChars="200"/>
        <w:jc w:val="left"/>
        <w:rPr>
          <w:rFonts w:hint="default" w:ascii="Times New Roman" w:hAnsi="Times New Roman" w:eastAsia="宋体" w:cs="Times New Roman"/>
          <w:b w:val="0"/>
          <w:bCs w:val="0"/>
          <w:color w:val="auto"/>
          <w:kern w:val="0"/>
          <w:sz w:val="24"/>
          <w:szCs w:val="24"/>
        </w:rPr>
      </w:pPr>
      <w:r>
        <w:rPr>
          <w:rFonts w:hint="default" w:ascii="Times New Roman" w:hAnsi="Times New Roman" w:eastAsia="宋体" w:cs="Times New Roman"/>
          <w:color w:val="auto"/>
          <w:sz w:val="24"/>
          <w:szCs w:val="24"/>
        </w:rPr>
        <w:t>现状条件下</w:t>
      </w:r>
      <w:r>
        <w:rPr>
          <w:rFonts w:hint="default" w:ascii="Times New Roman" w:hAnsi="Times New Roman" w:eastAsia="宋体" w:cs="Times New Roman"/>
          <w:color w:val="auto"/>
          <w:sz w:val="24"/>
          <w:szCs w:val="24"/>
          <w:highlight w:val="none"/>
          <w:lang w:eastAsia="zh-CN"/>
        </w:rPr>
        <w:t>露天采场</w:t>
      </w:r>
      <w:r>
        <w:rPr>
          <w:rFonts w:hint="default" w:ascii="Times New Roman" w:hAnsi="Times New Roman" w:eastAsia="宋体" w:cs="Times New Roman"/>
          <w:color w:val="auto"/>
          <w:sz w:val="24"/>
          <w:szCs w:val="24"/>
          <w:lang w:eastAsia="zh-CN"/>
        </w:rPr>
        <w:t>长</w:t>
      </w:r>
      <w:r>
        <w:rPr>
          <w:rFonts w:hint="default" w:ascii="Times New Roman" w:hAnsi="Times New Roman" w:eastAsia="宋体" w:cs="Times New Roman"/>
          <w:color w:val="auto"/>
          <w:sz w:val="24"/>
          <w:szCs w:val="24"/>
        </w:rPr>
        <w:t>约</w:t>
      </w:r>
      <w:r>
        <w:rPr>
          <w:rFonts w:hint="default" w:ascii="Times New Roman" w:hAnsi="Times New Roman" w:eastAsia="宋体" w:cs="Times New Roman"/>
          <w:color w:val="auto"/>
          <w:sz w:val="24"/>
          <w:szCs w:val="24"/>
          <w:lang w:val="en-US" w:eastAsia="zh-CN"/>
        </w:rPr>
        <w:t>194</w:t>
      </w:r>
      <w:r>
        <w:rPr>
          <w:rFonts w:hint="default" w:ascii="Times New Roman" w:hAnsi="Times New Roman" w:eastAsia="宋体" w:cs="Times New Roman"/>
          <w:color w:val="auto"/>
          <w:sz w:val="24"/>
          <w:szCs w:val="24"/>
        </w:rPr>
        <w:t>m，宽约</w:t>
      </w:r>
      <w:r>
        <w:rPr>
          <w:rFonts w:hint="default" w:ascii="Times New Roman" w:hAnsi="Times New Roman" w:eastAsia="宋体" w:cs="Times New Roman"/>
          <w:color w:val="auto"/>
          <w:sz w:val="24"/>
          <w:szCs w:val="24"/>
          <w:lang w:val="en-US" w:eastAsia="zh-CN"/>
        </w:rPr>
        <w:t>84</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highlight w:val="none"/>
          <w:lang w:eastAsia="zh-CN"/>
        </w:rPr>
        <w:t>采深</w:t>
      </w:r>
      <w:r>
        <w:rPr>
          <w:rFonts w:hint="default" w:ascii="Times New Roman" w:hAnsi="Times New Roman" w:eastAsia="宋体" w:cs="Times New Roman"/>
          <w:color w:val="auto"/>
          <w:sz w:val="24"/>
          <w:szCs w:val="24"/>
          <w:highlight w:val="none"/>
          <w:lang w:val="en-US" w:eastAsia="zh-CN"/>
        </w:rPr>
        <w:t>1-49m，现状露天采场形成一层台阶，开采较不规范，露天采场边坡坡度50~75°，局部近似直立。</w:t>
      </w:r>
      <w:r>
        <w:rPr>
          <w:rFonts w:hint="default" w:ascii="Times New Roman" w:hAnsi="Times New Roman" w:eastAsia="宋体" w:cs="Times New Roman"/>
          <w:bCs/>
          <w:color w:val="auto"/>
          <w:sz w:val="24"/>
          <w:szCs w:val="24"/>
          <w:lang w:eastAsia="zh-CN"/>
        </w:rPr>
        <w:t>现状</w:t>
      </w:r>
      <w:r>
        <w:rPr>
          <w:rFonts w:hint="default" w:ascii="Times New Roman" w:hAnsi="Times New Roman" w:eastAsia="宋体" w:cs="Times New Roman"/>
          <w:color w:val="auto"/>
          <w:sz w:val="24"/>
          <w:szCs w:val="24"/>
        </w:rPr>
        <w:t>地质灾害不发育。</w:t>
      </w:r>
    </w:p>
    <w:p>
      <w:pPr>
        <w:widowControl w:val="0"/>
        <w:spacing w:line="360" w:lineRule="auto"/>
        <w:ind w:firstLine="480" w:firstLineChars="200"/>
        <w:jc w:val="both"/>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（2）含水层破坏现状</w:t>
      </w:r>
    </w:p>
    <w:p>
      <w:pPr>
        <w:pageBreakBefore w:val="0"/>
        <w:widowControl/>
        <w:kinsoku/>
        <w:wordWrap/>
        <w:overflowPunct/>
        <w:topLinePunct w:val="0"/>
        <w:bidi w:val="0"/>
        <w:adjustRightInd w:val="0"/>
        <w:snapToGrid w:val="0"/>
        <w:spacing w:before="0" w:after="0" w:line="360" w:lineRule="auto"/>
        <w:ind w:firstLine="480" w:firstLineChars="200"/>
        <w:jc w:val="left"/>
        <w:textAlignment w:val="auto"/>
        <w:outlineLvl w:val="9"/>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露天采坑未揭露</w:t>
      </w:r>
      <w:r>
        <w:rPr>
          <w:rFonts w:hint="default" w:ascii="Times New Roman" w:hAnsi="Times New Roman" w:eastAsia="宋体" w:cs="Times New Roman"/>
          <w:color w:val="auto"/>
          <w:sz w:val="24"/>
          <w:szCs w:val="24"/>
        </w:rPr>
        <w:t>未揭露含水层，未对含水层结构造成破坏，无疏干排水，不存在疏干排水影响含水层；周边无大型供水水源工程，对附近水源无影响；所产生</w:t>
      </w:r>
      <w:r>
        <w:rPr>
          <w:rFonts w:hint="default" w:ascii="Times New Roman" w:hAnsi="Times New Roman" w:eastAsia="宋体" w:cs="Times New Roman"/>
          <w:color w:val="auto"/>
          <w:sz w:val="24"/>
          <w:szCs w:val="24"/>
          <w:lang w:eastAsia="zh-CN"/>
        </w:rPr>
        <w:t>废渣</w:t>
      </w:r>
      <w:r>
        <w:rPr>
          <w:rFonts w:hint="default" w:ascii="Times New Roman" w:hAnsi="Times New Roman" w:eastAsia="宋体" w:cs="Times New Roman"/>
          <w:color w:val="auto"/>
          <w:sz w:val="24"/>
          <w:szCs w:val="24"/>
        </w:rPr>
        <w:t>无有害成分</w:t>
      </w:r>
      <w:r>
        <w:rPr>
          <w:rFonts w:hint="default" w:ascii="Times New Roman" w:hAnsi="Times New Roman" w:eastAsia="宋体" w:cs="Times New Roman"/>
          <w:bCs/>
          <w:color w:val="auto"/>
          <w:sz w:val="24"/>
          <w:szCs w:val="24"/>
        </w:rPr>
        <w:t>，对地下水水质无影响</w:t>
      </w:r>
      <w:r>
        <w:rPr>
          <w:rFonts w:hint="default" w:ascii="Times New Roman" w:hAnsi="Times New Roman" w:eastAsia="宋体" w:cs="Times New Roman"/>
          <w:color w:val="auto"/>
          <w:sz w:val="24"/>
          <w:szCs w:val="24"/>
        </w:rPr>
        <w:t>。</w:t>
      </w:r>
    </w:p>
    <w:p>
      <w:pPr>
        <w:widowControl w:val="0"/>
        <w:spacing w:line="360" w:lineRule="auto"/>
        <w:ind w:firstLine="480" w:firstLineChars="200"/>
        <w:jc w:val="both"/>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（3）地形地貌景观影响现状</w:t>
      </w:r>
    </w:p>
    <w:p>
      <w:pPr>
        <w:pageBreakBefore w:val="0"/>
        <w:widowControl/>
        <w:kinsoku/>
        <w:wordWrap/>
        <w:overflowPunct/>
        <w:topLinePunct w:val="0"/>
        <w:bidi w:val="0"/>
        <w:adjustRightInd w:val="0"/>
        <w:snapToGrid w:val="0"/>
        <w:spacing w:before="0" w:after="0" w:line="360" w:lineRule="auto"/>
        <w:ind w:firstLine="480" w:firstLineChars="200"/>
        <w:jc w:val="left"/>
        <w:textAlignment w:val="auto"/>
        <w:outlineLvl w:val="9"/>
        <w:rPr>
          <w:rFonts w:hint="default" w:ascii="Times New Roman" w:hAnsi="Times New Roman" w:eastAsia="宋体" w:cs="Times New Roman"/>
          <w:b/>
          <w:bCs/>
          <w:color w:val="auto"/>
          <w:sz w:val="24"/>
          <w:szCs w:val="24"/>
          <w:lang w:eastAsia="zh-CN"/>
        </w:rPr>
      </w:pPr>
      <w:r>
        <w:rPr>
          <w:rFonts w:hint="default" w:ascii="Times New Roman" w:hAnsi="Times New Roman" w:eastAsia="宋体" w:cs="Times New Roman"/>
          <w:color w:val="auto"/>
          <w:sz w:val="24"/>
          <w:szCs w:val="24"/>
          <w:highlight w:val="none"/>
          <w:lang w:eastAsia="zh-CN"/>
        </w:rPr>
        <w:t>露天采场位于整个矿区范围内，近似长条形，</w:t>
      </w:r>
      <w:r>
        <w:rPr>
          <w:rFonts w:hint="default" w:ascii="Times New Roman" w:hAnsi="Times New Roman" w:eastAsia="宋体" w:cs="Times New Roman"/>
          <w:color w:val="auto"/>
          <w:sz w:val="24"/>
          <w:szCs w:val="24"/>
          <w:lang w:eastAsia="zh-CN"/>
        </w:rPr>
        <w:t>面积</w:t>
      </w:r>
      <w:r>
        <w:rPr>
          <w:rFonts w:hint="default" w:ascii="Times New Roman" w:hAnsi="Times New Roman" w:eastAsia="宋体" w:cs="Times New Roman"/>
          <w:color w:val="auto"/>
          <w:sz w:val="24"/>
          <w:szCs w:val="24"/>
          <w:lang w:val="en-US" w:eastAsia="zh-CN"/>
        </w:rPr>
        <w:t>14904m</w:t>
      </w:r>
      <w:r>
        <w:rPr>
          <w:rFonts w:hint="default" w:ascii="Times New Roman" w:hAnsi="Times New Roman" w:eastAsia="宋体" w:cs="Times New Roman"/>
          <w:color w:val="auto"/>
          <w:sz w:val="24"/>
          <w:szCs w:val="24"/>
          <w:vertAlign w:val="superscript"/>
          <w:lang w:val="en-US" w:eastAsia="zh-CN"/>
        </w:rPr>
        <w:t>2</w:t>
      </w:r>
      <w:r>
        <w:rPr>
          <w:rFonts w:hint="default" w:ascii="Times New Roman" w:hAnsi="Times New Roman" w:eastAsia="宋体" w:cs="Times New Roman"/>
          <w:color w:val="auto"/>
          <w:sz w:val="24"/>
          <w:szCs w:val="24"/>
          <w:vertAlign w:val="baseline"/>
          <w:lang w:val="en-US" w:eastAsia="zh-CN"/>
        </w:rPr>
        <w:t>，</w:t>
      </w:r>
      <w:r>
        <w:rPr>
          <w:rFonts w:hint="default" w:ascii="Times New Roman" w:hAnsi="Times New Roman" w:eastAsia="宋体" w:cs="Times New Roman"/>
          <w:color w:val="auto"/>
          <w:sz w:val="24"/>
          <w:szCs w:val="24"/>
          <w:lang w:eastAsia="zh-CN"/>
        </w:rPr>
        <w:t>长</w:t>
      </w:r>
      <w:r>
        <w:rPr>
          <w:rFonts w:hint="default" w:ascii="Times New Roman" w:hAnsi="Times New Roman" w:eastAsia="宋体" w:cs="Times New Roman"/>
          <w:color w:val="auto"/>
          <w:sz w:val="24"/>
          <w:szCs w:val="24"/>
        </w:rPr>
        <w:t>约</w:t>
      </w:r>
      <w:r>
        <w:rPr>
          <w:rFonts w:hint="default" w:ascii="Times New Roman" w:hAnsi="Times New Roman" w:eastAsia="宋体" w:cs="Times New Roman"/>
          <w:color w:val="auto"/>
          <w:sz w:val="24"/>
          <w:szCs w:val="24"/>
          <w:lang w:val="en-US" w:eastAsia="zh-CN"/>
        </w:rPr>
        <w:t>194</w:t>
      </w:r>
      <w:r>
        <w:rPr>
          <w:rFonts w:hint="default" w:ascii="Times New Roman" w:hAnsi="Times New Roman" w:eastAsia="宋体" w:cs="Times New Roman"/>
          <w:color w:val="auto"/>
          <w:sz w:val="24"/>
          <w:szCs w:val="24"/>
        </w:rPr>
        <w:t>m，宽约</w:t>
      </w:r>
      <w:r>
        <w:rPr>
          <w:rFonts w:hint="default" w:ascii="Times New Roman" w:hAnsi="Times New Roman" w:eastAsia="宋体" w:cs="Times New Roman"/>
          <w:color w:val="auto"/>
          <w:sz w:val="24"/>
          <w:szCs w:val="24"/>
          <w:lang w:val="en-US" w:eastAsia="zh-CN"/>
        </w:rPr>
        <w:t>84</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highlight w:val="none"/>
          <w:lang w:eastAsia="zh-CN"/>
        </w:rPr>
        <w:t>采深</w:t>
      </w:r>
      <w:r>
        <w:rPr>
          <w:rFonts w:hint="default" w:ascii="Times New Roman" w:hAnsi="Times New Roman" w:eastAsia="宋体" w:cs="Times New Roman"/>
          <w:color w:val="auto"/>
          <w:sz w:val="24"/>
          <w:szCs w:val="24"/>
          <w:highlight w:val="none"/>
          <w:lang w:val="en-US" w:eastAsia="zh-CN"/>
        </w:rPr>
        <w:t>1-49m，采场底标高850m，现状露天采场形成一层台阶，开采较不规范，露天采场边坡坡度50~75°，局部近似直立。露天采场四周边坡均存在越界行为。</w:t>
      </w:r>
      <w:r>
        <w:rPr>
          <w:rFonts w:hint="default" w:ascii="Times New Roman" w:hAnsi="Times New Roman" w:eastAsia="宋体" w:cs="Times New Roman"/>
          <w:color w:val="auto"/>
          <w:sz w:val="24"/>
          <w:szCs w:val="24"/>
        </w:rPr>
        <w:t>露天采场</w:t>
      </w:r>
      <w:r>
        <w:rPr>
          <w:rFonts w:hint="default" w:ascii="Times New Roman" w:hAnsi="Times New Roman" w:eastAsia="宋体" w:cs="Times New Roman"/>
          <w:bCs/>
          <w:color w:val="auto"/>
          <w:kern w:val="2"/>
          <w:sz w:val="24"/>
          <w:szCs w:val="24"/>
        </w:rPr>
        <w:t>直接挖损破坏地表形态与植被，边坡坡面不规整，破坏了地形地貌景观</w:t>
      </w:r>
      <w:r>
        <w:rPr>
          <w:rFonts w:hint="default" w:ascii="Times New Roman" w:hAnsi="Times New Roman" w:eastAsia="宋体" w:cs="Times New Roman"/>
          <w:bCs/>
          <w:color w:val="auto"/>
          <w:kern w:val="2"/>
          <w:sz w:val="24"/>
          <w:szCs w:val="24"/>
          <w:lang w:eastAsia="zh-CN"/>
        </w:rPr>
        <w:t>。</w:t>
      </w:r>
    </w:p>
    <w:p>
      <w:pPr>
        <w:widowControl w:val="0"/>
        <w:spacing w:line="360" w:lineRule="auto"/>
        <w:ind w:firstLine="480" w:firstLineChars="200"/>
        <w:jc w:val="both"/>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（4）土地资源影响现状</w:t>
      </w:r>
    </w:p>
    <w:p>
      <w:pPr>
        <w:pageBreakBefore w:val="0"/>
        <w:widowControl/>
        <w:kinsoku/>
        <w:wordWrap/>
        <w:overflowPunct/>
        <w:topLinePunct w:val="0"/>
        <w:bidi w:val="0"/>
        <w:adjustRightInd w:val="0"/>
        <w:snapToGrid w:val="0"/>
        <w:spacing w:before="0" w:after="0" w:line="360" w:lineRule="auto"/>
        <w:ind w:firstLine="480" w:firstLineChars="200"/>
        <w:jc w:val="left"/>
        <w:textAlignment w:val="auto"/>
        <w:outlineLvl w:val="9"/>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szCs w:val="24"/>
          <w:lang w:eastAsia="zh-CN"/>
        </w:rPr>
        <w:t>露天采场</w:t>
      </w:r>
      <w:r>
        <w:rPr>
          <w:rFonts w:hint="default" w:ascii="Times New Roman" w:hAnsi="Times New Roman" w:eastAsia="宋体" w:cs="Times New Roman"/>
          <w:color w:val="auto"/>
          <w:sz w:val="24"/>
          <w:szCs w:val="24"/>
        </w:rPr>
        <w:t>损毁土地类型为</w:t>
      </w:r>
      <w:r>
        <w:rPr>
          <w:rFonts w:hint="default" w:ascii="Times New Roman" w:hAnsi="Times New Roman" w:eastAsia="宋体" w:cs="Times New Roman"/>
          <w:color w:val="auto"/>
          <w:sz w:val="24"/>
          <w:szCs w:val="24"/>
          <w:lang w:eastAsia="zh-CN"/>
        </w:rPr>
        <w:t>有林地，面积</w:t>
      </w:r>
      <w:r>
        <w:rPr>
          <w:rFonts w:hint="default" w:ascii="Times New Roman" w:hAnsi="Times New Roman" w:eastAsia="宋体" w:cs="Times New Roman"/>
          <w:color w:val="auto"/>
          <w:sz w:val="24"/>
          <w:szCs w:val="24"/>
          <w:lang w:val="en-US" w:eastAsia="zh-CN"/>
        </w:rPr>
        <w:t>14904m</w:t>
      </w:r>
      <w:r>
        <w:rPr>
          <w:rFonts w:hint="default" w:ascii="Times New Roman" w:hAnsi="Times New Roman" w:eastAsia="宋体" w:cs="Times New Roman"/>
          <w:color w:val="auto"/>
          <w:sz w:val="24"/>
          <w:szCs w:val="24"/>
          <w:vertAlign w:val="superscript"/>
          <w:lang w:val="en-US" w:eastAsia="zh-CN"/>
        </w:rPr>
        <w:t>2</w:t>
      </w:r>
      <w:r>
        <w:rPr>
          <w:rFonts w:hint="default" w:ascii="Times New Roman" w:hAnsi="Times New Roman" w:eastAsia="宋体" w:cs="Times New Roman"/>
          <w:color w:val="auto"/>
          <w:sz w:val="24"/>
          <w:szCs w:val="24"/>
          <w:vertAlign w:val="baseline"/>
          <w:lang w:val="en-US" w:eastAsia="zh-CN"/>
        </w:rPr>
        <w:t>，</w:t>
      </w:r>
      <w:r>
        <w:rPr>
          <w:rFonts w:hint="default" w:ascii="Times New Roman" w:hAnsi="Times New Roman" w:eastAsia="宋体" w:cs="Times New Roman"/>
          <w:color w:val="auto"/>
          <w:sz w:val="24"/>
          <w:szCs w:val="24"/>
          <w:lang w:eastAsia="zh-CN"/>
        </w:rPr>
        <w:t>土地损毁程度属重度。</w:t>
      </w:r>
    </w:p>
    <w:p>
      <w:pPr>
        <w:pStyle w:val="2"/>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default" w:ascii="Times New Roman" w:hAnsi="Times New Roman" w:eastAsia="宋体" w:cs="Times New Roman"/>
          <w:color w:val="auto"/>
          <w:lang w:eastAsia="zh-CN"/>
        </w:rPr>
      </w:pPr>
      <w:r>
        <w:rPr>
          <w:color w:val="auto"/>
        </w:rPr>
        <w:drawing>
          <wp:inline distT="0" distB="0" distL="114300" distR="114300">
            <wp:extent cx="3811905" cy="2752725"/>
            <wp:effectExtent l="0" t="0" r="7620" b="0"/>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1"/>
                    </pic:cNvPicPr>
                  </pic:nvPicPr>
                  <pic:blipFill>
                    <a:blip r:embed="rId8"/>
                    <a:stretch>
                      <a:fillRect/>
                    </a:stretch>
                  </pic:blipFill>
                  <pic:spPr>
                    <a:xfrm>
                      <a:off x="0" y="0"/>
                      <a:ext cx="3811905" cy="2752725"/>
                    </a:xfrm>
                    <a:prstGeom prst="rect">
                      <a:avLst/>
                    </a:prstGeom>
                    <a:noFill/>
                    <a:ln>
                      <a:noFill/>
                    </a:ln>
                  </pic:spPr>
                </pic:pic>
              </a:graphicData>
            </a:graphic>
          </wp:inline>
        </w:drawing>
      </w:r>
    </w:p>
    <w:p>
      <w:pPr>
        <w:pStyle w:val="42"/>
        <w:keepNext w:val="0"/>
        <w:keepLines w:val="0"/>
        <w:pageBreakBefore w:val="0"/>
        <w:widowControl w:val="0"/>
        <w:kinsoku/>
        <w:overflowPunct/>
        <w:topLinePunct w:val="0"/>
        <w:autoSpaceDE/>
        <w:autoSpaceDN/>
        <w:bidi w:val="0"/>
        <w:snapToGrid/>
        <w:spacing w:line="360" w:lineRule="auto"/>
        <w:jc w:val="center"/>
        <w:textAlignment w:val="auto"/>
        <w:rPr>
          <w:rStyle w:val="27"/>
          <w:rFonts w:hint="default" w:ascii="Times New Roman" w:hAnsi="Times New Roman" w:eastAsia="宋体" w:cs="Times New Roman"/>
          <w:color w:val="auto"/>
          <w:sz w:val="24"/>
          <w:szCs w:val="24"/>
          <w:lang w:eastAsia="zh-CN"/>
        </w:rPr>
      </w:pPr>
      <w:r>
        <w:rPr>
          <w:rFonts w:hint="eastAsia" w:ascii="黑体" w:hAnsi="黑体" w:eastAsia="黑体" w:cs="黑体"/>
          <w:b w:val="0"/>
          <w:bCs w:val="0"/>
          <w:color w:val="auto"/>
          <w:sz w:val="24"/>
          <w:szCs w:val="24"/>
          <w:lang w:eastAsia="zh-CN"/>
        </w:rPr>
        <w:t>照片</w:t>
      </w:r>
      <w:r>
        <w:rPr>
          <w:rFonts w:hint="eastAsia" w:ascii="黑体" w:hAnsi="黑体" w:eastAsia="黑体" w:cs="黑体"/>
          <w:b w:val="0"/>
          <w:bCs w:val="0"/>
          <w:color w:val="auto"/>
          <w:sz w:val="24"/>
          <w:szCs w:val="24"/>
          <w:lang w:val="en-US" w:eastAsia="zh-CN"/>
        </w:rPr>
        <w:t>4-1  露天采场</w:t>
      </w:r>
    </w:p>
    <w:p>
      <w:pPr>
        <w:keepNext w:val="0"/>
        <w:keepLines w:val="0"/>
        <w:pageBreakBefore w:val="0"/>
        <w:widowControl w:val="0"/>
        <w:kinsoku/>
        <w:wordWrap/>
        <w:overflowPunct/>
        <w:topLinePunct w:val="0"/>
        <w:autoSpaceDE/>
        <w:autoSpaceDN/>
        <w:bidi w:val="0"/>
        <w:adjustRightInd/>
        <w:snapToGrid/>
        <w:spacing w:before="0" w:after="0" w:line="360" w:lineRule="auto"/>
        <w:ind w:firstLine="482" w:firstLineChars="200"/>
        <w:jc w:val="left"/>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val="0"/>
          <w:color w:val="auto"/>
          <w:sz w:val="24"/>
          <w:highlight w:val="none"/>
          <w:lang w:val="en-US" w:eastAsia="zh-CN"/>
        </w:rPr>
        <w:t>2、办公生活区</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（1）地质灾害现状</w:t>
      </w:r>
    </w:p>
    <w:p>
      <w:pPr>
        <w:keepNext w:val="0"/>
        <w:keepLines w:val="0"/>
        <w:pageBreakBefore w:val="0"/>
        <w:kinsoku/>
        <w:wordWrap/>
        <w:overflowPunct/>
        <w:topLinePunct w:val="0"/>
        <w:bidi w:val="0"/>
        <w:adjustRightInd w:val="0"/>
        <w:snapToGrid w:val="0"/>
        <w:spacing w:after="0" w:line="360" w:lineRule="auto"/>
        <w:ind w:firstLine="480" w:firstLineChars="200"/>
        <w:jc w:val="left"/>
        <w:textAlignment w:val="auto"/>
        <w:rPr>
          <w:rFonts w:hint="default" w:ascii="Times New Roman" w:hAnsi="Times New Roman" w:eastAsia="宋体" w:cs="Times New Roman"/>
          <w:b w:val="0"/>
          <w:bCs w:val="0"/>
          <w:color w:val="auto"/>
          <w:kern w:val="0"/>
          <w:sz w:val="24"/>
          <w:szCs w:val="24"/>
        </w:rPr>
      </w:pPr>
      <w:r>
        <w:rPr>
          <w:rFonts w:hint="default" w:ascii="Times New Roman" w:hAnsi="Times New Roman" w:eastAsia="宋体" w:cs="Times New Roman"/>
          <w:color w:val="auto"/>
          <w:sz w:val="24"/>
          <w:szCs w:val="24"/>
        </w:rPr>
        <w:t>现状条件</w:t>
      </w:r>
      <w:r>
        <w:rPr>
          <w:rFonts w:hint="default" w:ascii="Times New Roman" w:hAnsi="Times New Roman" w:eastAsia="宋体" w:cs="Times New Roman"/>
          <w:b w:val="0"/>
          <w:bCs w:val="0"/>
          <w:color w:val="auto"/>
          <w:sz w:val="24"/>
          <w:szCs w:val="24"/>
        </w:rPr>
        <w:t>下</w:t>
      </w:r>
      <w:r>
        <w:rPr>
          <w:rFonts w:hint="default" w:ascii="Times New Roman" w:hAnsi="Times New Roman" w:eastAsia="宋体" w:cs="Times New Roman"/>
          <w:b w:val="0"/>
          <w:bCs w:val="0"/>
          <w:color w:val="auto"/>
          <w:sz w:val="24"/>
          <w:szCs w:val="24"/>
          <w:lang w:eastAsia="zh-CN"/>
        </w:rPr>
        <w:t>办公生活区建设位置平坦，无高陡边坡，</w:t>
      </w:r>
      <w:r>
        <w:rPr>
          <w:rFonts w:hint="default" w:ascii="Times New Roman" w:hAnsi="Times New Roman" w:eastAsia="宋体" w:cs="Times New Roman"/>
          <w:color w:val="auto"/>
          <w:sz w:val="24"/>
          <w:szCs w:val="24"/>
        </w:rPr>
        <w:t>地质灾害不发育。</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（2）含水层破坏现状</w:t>
      </w:r>
    </w:p>
    <w:p>
      <w:pPr>
        <w:keepNext w:val="0"/>
        <w:keepLines w:val="0"/>
        <w:pageBreakBefore w:val="0"/>
        <w:widowControl/>
        <w:kinsoku/>
        <w:wordWrap/>
        <w:overflowPunct/>
        <w:topLinePunct w:val="0"/>
        <w:autoSpaceDE/>
        <w:autoSpaceDN/>
        <w:bidi w:val="0"/>
        <w:adjustRightInd/>
        <w:snapToGrid w:val="0"/>
        <w:spacing w:line="360" w:lineRule="auto"/>
        <w:ind w:firstLine="480" w:firstLineChars="200"/>
        <w:contextualSpacing/>
        <w:jc w:val="left"/>
        <w:textAlignment w:val="auto"/>
        <w:rPr>
          <w:rFonts w:hint="default" w:ascii="Times New Roman" w:hAnsi="Times New Roman" w:eastAsia="宋体" w:cs="Times New Roman"/>
          <w:b w:val="0"/>
          <w:bCs w:val="0"/>
          <w:color w:val="auto"/>
          <w:kern w:val="0"/>
          <w:sz w:val="24"/>
          <w:szCs w:val="24"/>
        </w:rPr>
      </w:pPr>
      <w:r>
        <w:rPr>
          <w:rFonts w:hint="default" w:ascii="Times New Roman" w:hAnsi="Times New Roman" w:eastAsia="宋体" w:cs="Times New Roman"/>
          <w:b w:val="0"/>
          <w:bCs w:val="0"/>
          <w:color w:val="auto"/>
          <w:kern w:val="0"/>
          <w:sz w:val="24"/>
          <w:szCs w:val="24"/>
          <w:lang w:val="en-US" w:eastAsia="zh-CN"/>
        </w:rPr>
        <w:t>办公生活区属于地表单元，</w:t>
      </w:r>
      <w:r>
        <w:rPr>
          <w:rFonts w:hint="default" w:ascii="Times New Roman" w:hAnsi="Times New Roman" w:eastAsia="宋体" w:cs="Times New Roman"/>
          <w:color w:val="auto"/>
          <w:sz w:val="24"/>
          <w:szCs w:val="24"/>
        </w:rPr>
        <w:t>仅对地表压占，未对含水层结构造成破坏。</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lang w:val="en-US" w:eastAsia="zh-CN" w:bidi="ar-SA"/>
        </w:rPr>
      </w:pPr>
      <w:r>
        <w:rPr>
          <w:rFonts w:hint="default" w:ascii="Times New Roman" w:hAnsi="Times New Roman" w:eastAsia="宋体" w:cs="Times New Roman"/>
          <w:color w:val="auto"/>
          <w:sz w:val="24"/>
          <w:szCs w:val="24"/>
        </w:rPr>
        <w:t>（3）地形地貌景观影响现状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9"/>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highlight w:val="none"/>
          <w:lang w:val="en-US" w:eastAsia="zh-CN"/>
        </w:rPr>
        <w:t>办公生活区位于矿区西侧，矿区范围外，建筑面积68m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，建筑物高度3m，办公生活区周围场地均已进行治理。场地建设压占植被，</w:t>
      </w:r>
      <w:r>
        <w:rPr>
          <w:rFonts w:hint="default" w:ascii="Times New Roman" w:hAnsi="Times New Roman" w:eastAsia="宋体" w:cs="Times New Roman"/>
          <w:bCs/>
          <w:color w:val="auto"/>
          <w:sz w:val="24"/>
          <w:szCs w:val="24"/>
        </w:rPr>
        <w:t>破坏了原有地形地貌景观</w:t>
      </w:r>
      <w:r>
        <w:rPr>
          <w:rFonts w:hint="default" w:ascii="Times New Roman" w:hAnsi="Times New Roman" w:eastAsia="宋体" w:cs="Times New Roman"/>
          <w:color w:val="auto"/>
          <w:sz w:val="24"/>
          <w:szCs w:val="24"/>
          <w:lang w:eastAsia="zh-CN"/>
        </w:rPr>
        <w:t>。</w:t>
      </w:r>
    </w:p>
    <w:p>
      <w:pPr>
        <w:keepNext w:val="0"/>
        <w:keepLines w:val="0"/>
        <w:pageBreakBefore w:val="0"/>
        <w:widowControl w:val="0"/>
        <w:kinsoku/>
        <w:wordWrap/>
        <w:overflowPunct/>
        <w:topLinePunct w:val="0"/>
        <w:bidi w:val="0"/>
        <w:spacing w:line="360" w:lineRule="auto"/>
        <w:ind w:firstLine="480" w:firstLineChars="200"/>
        <w:jc w:val="left"/>
        <w:textAlignment w:val="auto"/>
        <w:rPr>
          <w:rFonts w:hint="default" w:ascii="Times New Roman" w:hAnsi="Times New Roman" w:eastAsia="宋体" w:cs="Times New Roman"/>
          <w:color w:val="auto"/>
          <w:sz w:val="24"/>
          <w:szCs w:val="20"/>
        </w:rPr>
      </w:pPr>
      <w:r>
        <w:rPr>
          <w:rFonts w:hint="default" w:ascii="Times New Roman" w:hAnsi="Times New Roman" w:eastAsia="宋体" w:cs="Times New Roman"/>
          <w:color w:val="auto"/>
          <w:sz w:val="24"/>
          <w:szCs w:val="20"/>
        </w:rPr>
        <w:t>（4）土地资源影响现状</w:t>
      </w:r>
    </w:p>
    <w:p>
      <w:pPr>
        <w:pStyle w:val="2"/>
        <w:keepNext w:val="0"/>
        <w:keepLines w:val="0"/>
        <w:pageBreakBefore w:val="0"/>
        <w:kinsoku/>
        <w:wordWrap/>
        <w:overflowPunct/>
        <w:topLinePunct w:val="0"/>
        <w:bidi w:val="0"/>
        <w:spacing w:line="360" w:lineRule="auto"/>
        <w:ind w:firstLine="480" w:firstLineChars="200"/>
        <w:jc w:val="left"/>
        <w:textAlignment w:val="auto"/>
        <w:rPr>
          <w:rFonts w:hint="default"/>
          <w:color w:val="auto"/>
          <w:lang w:eastAsia="zh-CN"/>
        </w:rPr>
      </w:pPr>
      <w:r>
        <w:rPr>
          <w:rFonts w:hint="default" w:ascii="Times New Roman" w:hAnsi="Times New Roman" w:eastAsia="宋体" w:cs="Times New Roman"/>
          <w:color w:val="auto"/>
          <w:sz w:val="24"/>
          <w:szCs w:val="20"/>
          <w:lang w:eastAsia="zh-CN"/>
        </w:rPr>
        <w:t>办公生活区</w:t>
      </w:r>
      <w:r>
        <w:rPr>
          <w:rFonts w:hint="default" w:ascii="Times New Roman" w:hAnsi="Times New Roman" w:eastAsia="宋体" w:cs="Times New Roman"/>
          <w:color w:val="auto"/>
          <w:sz w:val="24"/>
          <w:szCs w:val="20"/>
        </w:rPr>
        <w:t>损毁土地类型为</w:t>
      </w:r>
      <w:r>
        <w:rPr>
          <w:rFonts w:hint="default" w:ascii="Times New Roman" w:hAnsi="Times New Roman" w:eastAsia="宋体" w:cs="Times New Roman"/>
          <w:color w:val="auto"/>
          <w:sz w:val="24"/>
          <w:szCs w:val="20"/>
          <w:lang w:eastAsia="zh-CN"/>
        </w:rPr>
        <w:t>有林地，面积</w:t>
      </w:r>
      <w:r>
        <w:rPr>
          <w:rFonts w:hint="default" w:ascii="Times New Roman" w:hAnsi="Times New Roman" w:eastAsia="宋体" w:cs="Times New Roman"/>
          <w:color w:val="auto"/>
          <w:sz w:val="24"/>
          <w:szCs w:val="20"/>
          <w:lang w:val="en-US" w:eastAsia="zh-CN"/>
        </w:rPr>
        <w:t>68m</w:t>
      </w:r>
      <w:r>
        <w:rPr>
          <w:rFonts w:hint="default" w:ascii="Times New Roman" w:hAnsi="Times New Roman" w:eastAsia="宋体" w:cs="Times New Roman"/>
          <w:color w:val="auto"/>
          <w:sz w:val="24"/>
          <w:szCs w:val="20"/>
          <w:vertAlign w:val="superscript"/>
          <w:lang w:val="en-US" w:eastAsia="zh-CN"/>
        </w:rPr>
        <w:t>2</w:t>
      </w:r>
      <w:r>
        <w:rPr>
          <w:rFonts w:hint="default" w:ascii="Times New Roman" w:hAnsi="Times New Roman" w:eastAsia="宋体" w:cs="Times New Roman"/>
          <w:color w:val="auto"/>
          <w:sz w:val="24"/>
          <w:szCs w:val="20"/>
          <w:vertAlign w:val="baseline"/>
          <w:lang w:val="en-US" w:eastAsia="zh-CN"/>
        </w:rPr>
        <w:t>，</w:t>
      </w:r>
      <w:r>
        <w:rPr>
          <w:rFonts w:hint="default" w:ascii="Times New Roman" w:hAnsi="Times New Roman" w:eastAsia="宋体" w:cs="Times New Roman"/>
          <w:color w:val="auto"/>
          <w:sz w:val="24"/>
          <w:szCs w:val="20"/>
          <w:lang w:eastAsia="zh-CN"/>
        </w:rPr>
        <w:t>土地损毁程度属轻度。</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宋体" w:cs="Times New Roman"/>
          <w:color w:val="auto"/>
          <w:sz w:val="24"/>
          <w:szCs w:val="24"/>
          <w:lang w:eastAsia="zh-CN"/>
        </w:rPr>
      </w:pPr>
      <w:r>
        <w:rPr>
          <w:color w:val="auto"/>
        </w:rPr>
        <w:drawing>
          <wp:inline distT="0" distB="0" distL="114300" distR="114300">
            <wp:extent cx="3856990" cy="1973580"/>
            <wp:effectExtent l="0" t="0" r="635" b="7620"/>
            <wp:docPr id="1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7"/>
                    <pic:cNvPicPr>
                      <a:picLocks noChangeAspect="1"/>
                    </pic:cNvPicPr>
                  </pic:nvPicPr>
                  <pic:blipFill>
                    <a:blip r:embed="rId9"/>
                    <a:stretch>
                      <a:fillRect/>
                    </a:stretch>
                  </pic:blipFill>
                  <pic:spPr>
                    <a:xfrm>
                      <a:off x="0" y="0"/>
                      <a:ext cx="3856990" cy="1973580"/>
                    </a:xfrm>
                    <a:prstGeom prst="rect">
                      <a:avLst/>
                    </a:prstGeom>
                    <a:noFill/>
                    <a:ln>
                      <a:noFill/>
                    </a:ln>
                  </pic:spPr>
                </pic:pic>
              </a:graphicData>
            </a:graphic>
          </wp:inline>
        </w:drawing>
      </w:r>
    </w:p>
    <w:p>
      <w:pPr>
        <w:pStyle w:val="42"/>
        <w:keepNext w:val="0"/>
        <w:keepLines w:val="0"/>
        <w:pageBreakBefore w:val="0"/>
        <w:widowControl w:val="0"/>
        <w:kinsoku/>
        <w:overflowPunct/>
        <w:topLinePunct w:val="0"/>
        <w:autoSpaceDE/>
        <w:autoSpaceDN/>
        <w:bidi w:val="0"/>
        <w:snapToGrid/>
        <w:spacing w:line="360" w:lineRule="auto"/>
        <w:jc w:val="center"/>
        <w:textAlignment w:val="auto"/>
        <w:rPr>
          <w:rStyle w:val="27"/>
          <w:rFonts w:hint="default" w:ascii="Times New Roman" w:hAnsi="Times New Roman" w:eastAsia="宋体" w:cs="Times New Roman"/>
          <w:color w:val="auto"/>
          <w:sz w:val="24"/>
          <w:szCs w:val="24"/>
          <w:lang w:eastAsia="zh-CN"/>
        </w:rPr>
      </w:pPr>
      <w:r>
        <w:rPr>
          <w:rFonts w:hint="eastAsia" w:ascii="黑体" w:hAnsi="黑体" w:eastAsia="黑体" w:cs="黑体"/>
          <w:b w:val="0"/>
          <w:bCs w:val="0"/>
          <w:color w:val="auto"/>
          <w:sz w:val="24"/>
          <w:szCs w:val="24"/>
          <w:lang w:eastAsia="zh-CN"/>
        </w:rPr>
        <w:t>照片</w:t>
      </w:r>
      <w:r>
        <w:rPr>
          <w:rFonts w:hint="eastAsia" w:ascii="黑体" w:hAnsi="黑体" w:eastAsia="黑体" w:cs="黑体"/>
          <w:b w:val="0"/>
          <w:bCs w:val="0"/>
          <w:color w:val="auto"/>
          <w:sz w:val="24"/>
          <w:szCs w:val="24"/>
          <w:lang w:val="en-US" w:eastAsia="zh-CN"/>
        </w:rPr>
        <w:t xml:space="preserve">4-2  </w:t>
      </w:r>
      <w:r>
        <w:rPr>
          <w:rFonts w:hint="eastAsia" w:ascii="黑体" w:hAnsi="黑体" w:eastAsia="黑体" w:cs="黑体"/>
          <w:b w:val="0"/>
          <w:bCs w:val="0"/>
          <w:color w:val="auto"/>
          <w:sz w:val="24"/>
          <w:szCs w:val="24"/>
          <w:highlight w:val="none"/>
          <w:lang w:val="en-US" w:eastAsia="zh-CN"/>
        </w:rPr>
        <w:t>办公生活区</w:t>
      </w:r>
    </w:p>
    <w:p>
      <w:pPr>
        <w:keepNext w:val="0"/>
        <w:keepLines w:val="0"/>
        <w:pageBreakBefore w:val="0"/>
        <w:widowControl w:val="0"/>
        <w:kinsoku/>
        <w:wordWrap/>
        <w:overflowPunct/>
        <w:topLinePunct w:val="0"/>
        <w:autoSpaceDE/>
        <w:autoSpaceDN/>
        <w:bidi w:val="0"/>
        <w:adjustRightInd/>
        <w:snapToGrid/>
        <w:spacing w:before="0" w:after="0" w:line="360" w:lineRule="auto"/>
        <w:ind w:firstLine="482" w:firstLineChars="200"/>
        <w:jc w:val="left"/>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val="0"/>
          <w:color w:val="auto"/>
          <w:sz w:val="24"/>
          <w:highlight w:val="none"/>
          <w:lang w:val="en-US" w:eastAsia="zh-CN"/>
        </w:rPr>
        <w:t>3、料堆</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（1）地质灾害现状</w:t>
      </w:r>
    </w:p>
    <w:p>
      <w:pPr>
        <w:keepNext w:val="0"/>
        <w:keepLines w:val="0"/>
        <w:pageBreakBefore w:val="0"/>
        <w:kinsoku/>
        <w:wordWrap/>
        <w:overflowPunct/>
        <w:topLinePunct w:val="0"/>
        <w:bidi w:val="0"/>
        <w:adjustRightInd w:val="0"/>
        <w:snapToGrid w:val="0"/>
        <w:spacing w:after="0" w:line="360" w:lineRule="auto"/>
        <w:ind w:firstLine="480" w:firstLineChars="200"/>
        <w:jc w:val="left"/>
        <w:textAlignment w:val="auto"/>
        <w:rPr>
          <w:rFonts w:hint="default" w:ascii="Times New Roman" w:hAnsi="Times New Roman" w:eastAsia="宋体" w:cs="Times New Roman"/>
          <w:b w:val="0"/>
          <w:bCs w:val="0"/>
          <w:color w:val="auto"/>
          <w:kern w:val="0"/>
          <w:sz w:val="24"/>
          <w:szCs w:val="24"/>
        </w:rPr>
      </w:pPr>
      <w:r>
        <w:rPr>
          <w:rFonts w:hint="default" w:ascii="Times New Roman" w:hAnsi="Times New Roman" w:eastAsia="宋体" w:cs="Times New Roman"/>
          <w:color w:val="auto"/>
          <w:sz w:val="24"/>
          <w:szCs w:val="24"/>
        </w:rPr>
        <w:t>现状条件</w:t>
      </w:r>
      <w:r>
        <w:rPr>
          <w:rFonts w:hint="default" w:ascii="Times New Roman" w:hAnsi="Times New Roman" w:eastAsia="宋体" w:cs="Times New Roman"/>
          <w:b w:val="0"/>
          <w:bCs w:val="0"/>
          <w:color w:val="auto"/>
          <w:sz w:val="24"/>
          <w:szCs w:val="24"/>
        </w:rPr>
        <w:t>下</w:t>
      </w:r>
      <w:r>
        <w:rPr>
          <w:rFonts w:hint="default" w:ascii="Times New Roman" w:hAnsi="Times New Roman" w:eastAsia="宋体" w:cs="Times New Roman"/>
          <w:b w:val="0"/>
          <w:bCs w:val="0"/>
          <w:color w:val="auto"/>
          <w:kern w:val="0"/>
          <w:sz w:val="24"/>
          <w:szCs w:val="24"/>
          <w:lang w:val="en-US" w:eastAsia="zh-CN"/>
        </w:rPr>
        <w:t>料堆堆积高度3~5m，</w:t>
      </w:r>
      <w:r>
        <w:rPr>
          <w:rFonts w:hint="default" w:ascii="Times New Roman" w:hAnsi="Times New Roman" w:eastAsia="宋体" w:cs="Times New Roman"/>
          <w:color w:val="auto"/>
          <w:sz w:val="24"/>
          <w:szCs w:val="24"/>
        </w:rPr>
        <w:t>堆放坡度</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40</w:t>
      </w:r>
      <w:r>
        <w:rPr>
          <w:rFonts w:hint="default" w:ascii="Times New Roman" w:hAnsi="Times New Roman" w:eastAsia="宋体" w:cs="Times New Roman"/>
          <w:color w:val="auto"/>
          <w:sz w:val="24"/>
          <w:szCs w:val="24"/>
        </w:rPr>
        <w:t>°，</w:t>
      </w:r>
      <w:r>
        <w:rPr>
          <w:rFonts w:hint="default" w:ascii="Times New Roman" w:hAnsi="Times New Roman" w:eastAsia="宋体" w:cs="Times New Roman"/>
          <w:b w:val="0"/>
          <w:bCs w:val="0"/>
          <w:color w:val="auto"/>
          <w:kern w:val="0"/>
          <w:sz w:val="24"/>
          <w:szCs w:val="24"/>
          <w:lang w:eastAsia="zh-CN"/>
        </w:rPr>
        <w:t>堆积高度较小，面积较小，边坡稳定性较好，</w:t>
      </w:r>
      <w:r>
        <w:rPr>
          <w:rFonts w:hint="default" w:ascii="Times New Roman" w:hAnsi="Times New Roman" w:eastAsia="宋体" w:cs="Times New Roman"/>
          <w:color w:val="auto"/>
          <w:sz w:val="24"/>
          <w:szCs w:val="24"/>
        </w:rPr>
        <w:t>地质灾害不发育。</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（2）含水层破坏现状</w:t>
      </w:r>
    </w:p>
    <w:p>
      <w:pPr>
        <w:keepNext w:val="0"/>
        <w:keepLines w:val="0"/>
        <w:pageBreakBefore w:val="0"/>
        <w:widowControl/>
        <w:kinsoku/>
        <w:wordWrap/>
        <w:overflowPunct/>
        <w:topLinePunct w:val="0"/>
        <w:autoSpaceDE/>
        <w:autoSpaceDN/>
        <w:bidi w:val="0"/>
        <w:adjustRightInd/>
        <w:snapToGrid w:val="0"/>
        <w:spacing w:line="360" w:lineRule="auto"/>
        <w:ind w:firstLine="480" w:firstLineChars="200"/>
        <w:contextualSpacing/>
        <w:jc w:val="left"/>
        <w:textAlignment w:val="auto"/>
        <w:rPr>
          <w:rFonts w:hint="default" w:ascii="Times New Roman" w:hAnsi="Times New Roman" w:eastAsia="宋体" w:cs="Times New Roman"/>
          <w:b w:val="0"/>
          <w:bCs w:val="0"/>
          <w:color w:val="auto"/>
          <w:kern w:val="0"/>
          <w:sz w:val="24"/>
          <w:szCs w:val="24"/>
        </w:rPr>
      </w:pPr>
      <w:r>
        <w:rPr>
          <w:rFonts w:hint="default" w:ascii="Times New Roman" w:hAnsi="Times New Roman" w:eastAsia="宋体" w:cs="Times New Roman"/>
          <w:b w:val="0"/>
          <w:bCs w:val="0"/>
          <w:color w:val="auto"/>
          <w:kern w:val="0"/>
          <w:sz w:val="24"/>
          <w:szCs w:val="24"/>
          <w:lang w:val="en-US" w:eastAsia="zh-CN"/>
        </w:rPr>
        <w:t>料堆</w:t>
      </w:r>
      <w:r>
        <w:rPr>
          <w:rFonts w:hint="default" w:ascii="Times New Roman" w:hAnsi="Times New Roman" w:eastAsia="宋体" w:cs="Times New Roman"/>
          <w:color w:val="auto"/>
          <w:sz w:val="24"/>
          <w:szCs w:val="24"/>
        </w:rPr>
        <w:t>仅对地表压占，未揭露含水层，未对含水层结构造成破坏，无疏干排水，不存在疏干排水影响含水层；周边无大型供水水源工程，对附近水源无影响；所产生</w:t>
      </w:r>
      <w:r>
        <w:rPr>
          <w:rFonts w:hint="default" w:ascii="Times New Roman" w:hAnsi="Times New Roman" w:eastAsia="宋体" w:cs="Times New Roman"/>
          <w:color w:val="auto"/>
          <w:sz w:val="24"/>
          <w:szCs w:val="24"/>
          <w:lang w:eastAsia="zh-CN"/>
        </w:rPr>
        <w:t>废渣</w:t>
      </w:r>
      <w:r>
        <w:rPr>
          <w:rFonts w:hint="default" w:ascii="Times New Roman" w:hAnsi="Times New Roman" w:eastAsia="宋体" w:cs="Times New Roman"/>
          <w:color w:val="auto"/>
          <w:sz w:val="24"/>
          <w:szCs w:val="24"/>
        </w:rPr>
        <w:t>无有害成分</w:t>
      </w:r>
      <w:r>
        <w:rPr>
          <w:rFonts w:hint="default" w:ascii="Times New Roman" w:hAnsi="Times New Roman" w:eastAsia="宋体" w:cs="Times New Roman"/>
          <w:bCs/>
          <w:color w:val="auto"/>
          <w:sz w:val="24"/>
          <w:szCs w:val="24"/>
        </w:rPr>
        <w:t>，对地下水水质无影响</w:t>
      </w:r>
      <w:r>
        <w:rPr>
          <w:rFonts w:hint="default" w:ascii="Times New Roman" w:hAnsi="Times New Roman" w:eastAsia="宋体" w:cs="Times New Roman"/>
          <w:color w:val="auto"/>
          <w:sz w:val="24"/>
          <w:szCs w:val="24"/>
        </w:rPr>
        <w:t>。</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lang w:val="en-US" w:eastAsia="zh-CN" w:bidi="ar-SA"/>
        </w:rPr>
      </w:pPr>
      <w:r>
        <w:rPr>
          <w:rFonts w:hint="default" w:ascii="Times New Roman" w:hAnsi="Times New Roman" w:eastAsia="宋体" w:cs="Times New Roman"/>
          <w:color w:val="auto"/>
          <w:sz w:val="24"/>
          <w:szCs w:val="24"/>
        </w:rPr>
        <w:t>（3）地形地貌景观影响现状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9"/>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highlight w:val="none"/>
          <w:lang w:val="en-US" w:eastAsia="zh-CN"/>
        </w:rPr>
        <w:t>料堆场地位于矿区范围外，矿区西北侧，</w:t>
      </w:r>
      <w:r>
        <w:rPr>
          <w:rFonts w:hint="default" w:ascii="Times New Roman" w:hAnsi="Times New Roman" w:eastAsia="宋体" w:cs="Times New Roman"/>
          <w:color w:val="auto"/>
          <w:sz w:val="24"/>
          <w:szCs w:val="24"/>
          <w:highlight w:val="none"/>
        </w:rPr>
        <w:t>占地面积</w:t>
      </w:r>
      <w:r>
        <w:rPr>
          <w:rFonts w:hint="default" w:ascii="Times New Roman" w:hAnsi="Times New Roman" w:eastAsia="宋体" w:cs="Times New Roman"/>
          <w:color w:val="auto"/>
          <w:sz w:val="24"/>
          <w:szCs w:val="24"/>
          <w:highlight w:val="none"/>
          <w:lang w:val="en-US" w:eastAsia="zh-CN"/>
        </w:rPr>
        <w:t>11355</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b w:val="0"/>
          <w:bCs w:val="0"/>
          <w:color w:val="auto"/>
          <w:kern w:val="0"/>
          <w:sz w:val="24"/>
          <w:szCs w:val="24"/>
          <w:lang w:val="en-US" w:eastAsia="zh-CN"/>
        </w:rPr>
        <w:t>堆积高度3~5m，</w:t>
      </w:r>
      <w:r>
        <w:rPr>
          <w:rFonts w:hint="default" w:ascii="Times New Roman" w:hAnsi="Times New Roman" w:eastAsia="宋体" w:cs="Times New Roman"/>
          <w:color w:val="auto"/>
          <w:sz w:val="24"/>
          <w:szCs w:val="24"/>
        </w:rPr>
        <w:t>堆放坡度</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40</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eastAsia="zh-CN"/>
        </w:rPr>
        <w:t>堆积方量约</w:t>
      </w:r>
      <w:r>
        <w:rPr>
          <w:rFonts w:hint="default" w:ascii="Times New Roman" w:hAnsi="Times New Roman" w:eastAsia="宋体" w:cs="Times New Roman"/>
          <w:color w:val="auto"/>
          <w:sz w:val="24"/>
          <w:szCs w:val="24"/>
          <w:lang w:val="en-US" w:eastAsia="zh-CN"/>
        </w:rPr>
        <w:t>12600m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highlight w:val="none"/>
          <w:lang w:val="en-US" w:eastAsia="zh-CN"/>
        </w:rPr>
        <w:t>场地建设压占植被，</w:t>
      </w:r>
      <w:r>
        <w:rPr>
          <w:rFonts w:hint="default" w:ascii="Times New Roman" w:hAnsi="Times New Roman" w:eastAsia="宋体" w:cs="Times New Roman"/>
          <w:bCs/>
          <w:color w:val="auto"/>
          <w:sz w:val="24"/>
          <w:szCs w:val="24"/>
        </w:rPr>
        <w:t>破坏了原有地形地貌景观</w:t>
      </w:r>
      <w:r>
        <w:rPr>
          <w:rFonts w:hint="default" w:ascii="Times New Roman" w:hAnsi="Times New Roman" w:eastAsia="宋体" w:cs="Times New Roman"/>
          <w:color w:val="auto"/>
          <w:sz w:val="24"/>
          <w:szCs w:val="24"/>
          <w:lang w:eastAsia="zh-CN"/>
        </w:rPr>
        <w:t>。</w:t>
      </w:r>
    </w:p>
    <w:p>
      <w:pPr>
        <w:keepNext w:val="0"/>
        <w:keepLines w:val="0"/>
        <w:pageBreakBefore w:val="0"/>
        <w:widowControl w:val="0"/>
        <w:kinsoku/>
        <w:wordWrap/>
        <w:overflowPunct/>
        <w:topLinePunct w:val="0"/>
        <w:autoSpaceDE/>
        <w:autoSpaceDN/>
        <w:bidi w:val="0"/>
        <w:adjustRightInd w:val="0"/>
        <w:spacing w:line="360" w:lineRule="auto"/>
        <w:ind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（4）土地资源影响现状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9"/>
        <w:rPr>
          <w:color w:val="auto"/>
        </w:rPr>
      </w:pPr>
      <w:r>
        <w:rPr>
          <w:rFonts w:hint="default" w:ascii="Times New Roman" w:hAnsi="Times New Roman" w:eastAsia="宋体" w:cs="Times New Roman"/>
          <w:b w:val="0"/>
          <w:bCs w:val="0"/>
          <w:color w:val="auto"/>
          <w:kern w:val="0"/>
          <w:sz w:val="24"/>
          <w:szCs w:val="24"/>
          <w:lang w:val="en-US" w:eastAsia="zh-CN"/>
        </w:rPr>
        <w:t>料堆</w:t>
      </w:r>
      <w:r>
        <w:rPr>
          <w:rFonts w:hint="default" w:ascii="Times New Roman" w:hAnsi="Times New Roman" w:eastAsia="宋体" w:cs="Times New Roman"/>
          <w:color w:val="auto"/>
          <w:sz w:val="24"/>
          <w:szCs w:val="24"/>
        </w:rPr>
        <w:t>损毁土地类型为</w:t>
      </w:r>
      <w:r>
        <w:rPr>
          <w:rFonts w:hint="default" w:ascii="Times New Roman" w:hAnsi="Times New Roman" w:eastAsia="宋体" w:cs="Times New Roman"/>
          <w:color w:val="auto"/>
          <w:sz w:val="24"/>
          <w:szCs w:val="24"/>
          <w:lang w:eastAsia="zh-CN"/>
        </w:rPr>
        <w:t>有林地，土地损毁程度属轻度。</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drawing>
          <wp:inline distT="0" distB="0" distL="114300" distR="114300">
            <wp:extent cx="3710305" cy="1325245"/>
            <wp:effectExtent l="0" t="0" r="4445" b="8255"/>
            <wp:docPr id="22" name="图片 22" descr="DJI_0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DJI_0157"/>
                    <pic:cNvPicPr>
                      <a:picLocks noChangeAspect="1"/>
                    </pic:cNvPicPr>
                  </pic:nvPicPr>
                  <pic:blipFill>
                    <a:blip r:embed="rId10"/>
                    <a:srcRect l="15655" t="47186" r="2839" b="9156"/>
                    <a:stretch>
                      <a:fillRect/>
                    </a:stretch>
                  </pic:blipFill>
                  <pic:spPr>
                    <a:xfrm>
                      <a:off x="0" y="0"/>
                      <a:ext cx="3710305" cy="1325245"/>
                    </a:xfrm>
                    <a:prstGeom prst="rect">
                      <a:avLst/>
                    </a:prstGeom>
                  </pic:spPr>
                </pic:pic>
              </a:graphicData>
            </a:graphic>
          </wp:inline>
        </w:drawing>
      </w:r>
    </w:p>
    <w:p>
      <w:pPr>
        <w:pStyle w:val="2"/>
        <w:spacing w:line="360" w:lineRule="auto"/>
        <w:jc w:val="center"/>
        <w:rPr>
          <w:rFonts w:hint="default" w:ascii="黑体" w:hAnsi="黑体" w:eastAsia="黑体" w:cs="黑体"/>
          <w:b w:val="0"/>
          <w:bCs w:val="0"/>
          <w:color w:val="auto"/>
          <w:sz w:val="24"/>
          <w:szCs w:val="24"/>
          <w:lang w:val="en-US" w:eastAsia="zh-CN"/>
        </w:rPr>
      </w:pPr>
      <w:r>
        <w:rPr>
          <w:rFonts w:hint="eastAsia" w:ascii="黑体" w:hAnsi="黑体" w:eastAsia="黑体" w:cs="黑体"/>
          <w:b w:val="0"/>
          <w:bCs w:val="0"/>
          <w:color w:val="auto"/>
          <w:sz w:val="24"/>
          <w:szCs w:val="24"/>
          <w:lang w:eastAsia="zh-CN"/>
        </w:rPr>
        <w:t>照片</w:t>
      </w:r>
      <w:r>
        <w:rPr>
          <w:rFonts w:hint="eastAsia" w:ascii="黑体" w:hAnsi="黑体" w:eastAsia="黑体" w:cs="黑体"/>
          <w:b w:val="0"/>
          <w:bCs w:val="0"/>
          <w:color w:val="auto"/>
          <w:sz w:val="24"/>
          <w:szCs w:val="24"/>
          <w:lang w:val="en-US" w:eastAsia="zh-CN"/>
        </w:rPr>
        <w:t xml:space="preserve">4-3  </w:t>
      </w:r>
      <w:r>
        <w:rPr>
          <w:rFonts w:hint="eastAsia" w:ascii="黑体" w:hAnsi="黑体" w:eastAsia="黑体" w:cs="黑体"/>
          <w:b w:val="0"/>
          <w:bCs w:val="0"/>
          <w:color w:val="auto"/>
          <w:sz w:val="24"/>
          <w:szCs w:val="24"/>
          <w:highlight w:val="none"/>
          <w:lang w:val="en-US" w:eastAsia="zh-CN"/>
        </w:rPr>
        <w:t>料堆</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contextualSpacing/>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b/>
          <w:bCs w:val="0"/>
          <w:color w:val="auto"/>
          <w:sz w:val="24"/>
          <w:highlight w:val="none"/>
          <w:lang w:val="en-US" w:eastAsia="zh-CN"/>
        </w:rPr>
        <w:t>4、矿区道路</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0"/>
        </w:rPr>
      </w:pPr>
      <w:r>
        <w:rPr>
          <w:rFonts w:hint="default" w:ascii="Times New Roman" w:hAnsi="Times New Roman" w:eastAsia="宋体" w:cs="Times New Roman"/>
          <w:color w:val="auto"/>
          <w:sz w:val="24"/>
          <w:szCs w:val="20"/>
        </w:rPr>
        <w:t>（1）地质灾害现状</w:t>
      </w:r>
    </w:p>
    <w:p>
      <w:pPr>
        <w:keepNext w:val="0"/>
        <w:keepLines w:val="0"/>
        <w:pageBreakBefore w:val="0"/>
        <w:kinsoku/>
        <w:wordWrap/>
        <w:overflowPunct/>
        <w:topLinePunct w:val="0"/>
        <w:autoSpaceDE/>
        <w:autoSpaceDN/>
        <w:bidi w:val="0"/>
        <w:adjustRightInd w:val="0"/>
        <w:snapToGrid w:val="0"/>
        <w:spacing w:after="0" w:line="360" w:lineRule="auto"/>
        <w:ind w:firstLine="480" w:firstLineChars="200"/>
        <w:jc w:val="left"/>
        <w:textAlignment w:val="auto"/>
        <w:rPr>
          <w:rFonts w:hint="default" w:ascii="Times New Roman" w:hAnsi="Times New Roman" w:eastAsia="宋体" w:cs="Times New Roman"/>
          <w:b w:val="0"/>
          <w:bCs w:val="0"/>
          <w:color w:val="auto"/>
          <w:kern w:val="0"/>
          <w:sz w:val="24"/>
          <w:szCs w:val="22"/>
        </w:rPr>
      </w:pPr>
      <w:r>
        <w:rPr>
          <w:rFonts w:hint="default" w:ascii="Times New Roman" w:hAnsi="Times New Roman" w:eastAsia="宋体" w:cs="Times New Roman"/>
          <w:color w:val="auto"/>
          <w:sz w:val="24"/>
          <w:szCs w:val="20"/>
        </w:rPr>
        <w:t>现状条件</w:t>
      </w:r>
      <w:r>
        <w:rPr>
          <w:rFonts w:hint="default" w:ascii="Times New Roman" w:hAnsi="Times New Roman" w:eastAsia="宋体" w:cs="Times New Roman"/>
          <w:b w:val="0"/>
          <w:bCs w:val="0"/>
          <w:color w:val="auto"/>
          <w:sz w:val="24"/>
          <w:szCs w:val="20"/>
        </w:rPr>
        <w:t>下</w:t>
      </w:r>
      <w:r>
        <w:rPr>
          <w:rFonts w:hint="default" w:ascii="Times New Roman" w:hAnsi="Times New Roman" w:eastAsia="宋体" w:cs="Times New Roman"/>
          <w:b w:val="0"/>
          <w:bCs w:val="0"/>
          <w:color w:val="auto"/>
          <w:kern w:val="0"/>
          <w:sz w:val="24"/>
          <w:szCs w:val="22"/>
          <w:lang w:eastAsia="zh-CN"/>
        </w:rPr>
        <w:t>矿区道路</w:t>
      </w:r>
      <w:r>
        <w:rPr>
          <w:rFonts w:hint="default" w:ascii="Times New Roman" w:hAnsi="Times New Roman" w:eastAsia="宋体" w:cs="Times New Roman"/>
          <w:color w:val="auto"/>
          <w:sz w:val="24"/>
          <w:szCs w:val="20"/>
        </w:rPr>
        <w:t>地形平缓</w:t>
      </w:r>
      <w:r>
        <w:rPr>
          <w:rFonts w:hint="default" w:ascii="Times New Roman" w:hAnsi="Times New Roman" w:eastAsia="宋体" w:cs="Times New Roman"/>
          <w:b w:val="0"/>
          <w:bCs w:val="0"/>
          <w:color w:val="auto"/>
          <w:kern w:val="0"/>
          <w:sz w:val="24"/>
          <w:szCs w:val="22"/>
          <w:lang w:eastAsia="zh-CN"/>
        </w:rPr>
        <w:t>，</w:t>
      </w:r>
      <w:r>
        <w:rPr>
          <w:rFonts w:hint="default" w:ascii="Times New Roman" w:hAnsi="Times New Roman" w:eastAsia="宋体" w:cs="Times New Roman"/>
          <w:color w:val="auto"/>
          <w:sz w:val="24"/>
          <w:szCs w:val="20"/>
        </w:rPr>
        <w:t>地质灾害不发育。</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0"/>
        </w:rPr>
      </w:pPr>
      <w:r>
        <w:rPr>
          <w:rFonts w:hint="default" w:ascii="Times New Roman" w:hAnsi="Times New Roman" w:eastAsia="宋体" w:cs="Times New Roman"/>
          <w:color w:val="auto"/>
          <w:sz w:val="24"/>
          <w:szCs w:val="20"/>
        </w:rPr>
        <w:t>（2）含水层破坏现状</w:t>
      </w:r>
    </w:p>
    <w:p>
      <w:pPr>
        <w:keepNext w:val="0"/>
        <w:keepLines w:val="0"/>
        <w:pageBreakBefore w:val="0"/>
        <w:widowControl/>
        <w:kinsoku/>
        <w:wordWrap/>
        <w:overflowPunct/>
        <w:topLinePunct w:val="0"/>
        <w:autoSpaceDE/>
        <w:autoSpaceDN/>
        <w:bidi w:val="0"/>
        <w:adjustRightInd/>
        <w:snapToGrid w:val="0"/>
        <w:spacing w:line="360" w:lineRule="auto"/>
        <w:ind w:firstLine="480" w:firstLineChars="200"/>
        <w:contextualSpacing/>
        <w:jc w:val="left"/>
        <w:textAlignment w:val="auto"/>
        <w:rPr>
          <w:rFonts w:hint="default" w:ascii="Times New Roman" w:hAnsi="Times New Roman" w:eastAsia="宋体" w:cs="Times New Roman"/>
          <w:b w:val="0"/>
          <w:bCs w:val="0"/>
          <w:color w:val="auto"/>
          <w:kern w:val="0"/>
          <w:sz w:val="24"/>
          <w:szCs w:val="22"/>
        </w:rPr>
      </w:pPr>
      <w:r>
        <w:rPr>
          <w:rFonts w:hint="default" w:ascii="Times New Roman" w:hAnsi="Times New Roman" w:eastAsia="宋体" w:cs="Times New Roman"/>
          <w:b w:val="0"/>
          <w:bCs w:val="0"/>
          <w:color w:val="auto"/>
          <w:kern w:val="0"/>
          <w:sz w:val="24"/>
          <w:szCs w:val="22"/>
          <w:lang w:eastAsia="zh-CN"/>
        </w:rPr>
        <w:t>矿区道路</w:t>
      </w:r>
      <w:r>
        <w:rPr>
          <w:rFonts w:hint="default" w:ascii="Times New Roman" w:hAnsi="Times New Roman" w:eastAsia="宋体" w:cs="Times New Roman"/>
          <w:color w:val="auto"/>
          <w:sz w:val="24"/>
          <w:szCs w:val="20"/>
        </w:rPr>
        <w:t>仅对地表压占，未揭露含水层，未对含水层结构造成破坏，无疏干排水，不存在疏干排水影响含水层；周边无大型供水水源工程，对附近水源无影响；所产生</w:t>
      </w:r>
      <w:r>
        <w:rPr>
          <w:rFonts w:hint="default" w:ascii="Times New Roman" w:hAnsi="Times New Roman" w:eastAsia="宋体" w:cs="Times New Roman"/>
          <w:color w:val="auto"/>
          <w:sz w:val="24"/>
          <w:szCs w:val="20"/>
          <w:lang w:eastAsia="zh-CN"/>
        </w:rPr>
        <w:t>废渣</w:t>
      </w:r>
      <w:r>
        <w:rPr>
          <w:rFonts w:hint="default" w:ascii="Times New Roman" w:hAnsi="Times New Roman" w:eastAsia="宋体" w:cs="Times New Roman"/>
          <w:color w:val="auto"/>
          <w:sz w:val="24"/>
          <w:szCs w:val="20"/>
        </w:rPr>
        <w:t>无有害成分</w:t>
      </w:r>
      <w:r>
        <w:rPr>
          <w:rFonts w:hint="default" w:ascii="Times New Roman" w:hAnsi="Times New Roman" w:eastAsia="宋体" w:cs="Times New Roman"/>
          <w:bCs/>
          <w:color w:val="auto"/>
          <w:sz w:val="24"/>
          <w:szCs w:val="20"/>
        </w:rPr>
        <w:t>，对地下水水质无影响</w:t>
      </w:r>
      <w:r>
        <w:rPr>
          <w:rFonts w:hint="default" w:ascii="Times New Roman" w:hAnsi="Times New Roman" w:eastAsia="宋体" w:cs="Times New Roman"/>
          <w:color w:val="auto"/>
          <w:sz w:val="24"/>
          <w:szCs w:val="20"/>
        </w:rPr>
        <w:t>。</w:t>
      </w:r>
    </w:p>
    <w:p>
      <w:pPr>
        <w:keepNext w:val="0"/>
        <w:keepLines w:val="0"/>
        <w:pageBreakBefore w:val="0"/>
        <w:widowControl/>
        <w:kinsoku/>
        <w:wordWrap/>
        <w:overflowPunct/>
        <w:topLinePunct w:val="0"/>
        <w:autoSpaceDE/>
        <w:autoSpaceDN/>
        <w:bidi w:val="0"/>
        <w:adjustRightInd/>
        <w:snapToGrid/>
        <w:spacing w:after="0" w:line="360" w:lineRule="auto"/>
        <w:ind w:firstLine="480" w:firstLineChars="200"/>
        <w:contextualSpacing/>
        <w:jc w:val="left"/>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sz w:val="24"/>
          <w:szCs w:val="20"/>
        </w:rPr>
        <w:t>（3）地形地貌景观影响现状</w:t>
      </w:r>
    </w:p>
    <w:p>
      <w:pPr>
        <w:keepNext w:val="0"/>
        <w:keepLines w:val="0"/>
        <w:pageBreakBefore w:val="0"/>
        <w:kinsoku/>
        <w:wordWrap/>
        <w:overflowPunct/>
        <w:topLinePunct w:val="0"/>
        <w:autoSpaceDE/>
        <w:autoSpaceDN/>
        <w:bidi w:val="0"/>
        <w:spacing w:after="0" w:line="360" w:lineRule="auto"/>
        <w:ind w:firstLine="480" w:firstLineChars="200"/>
        <w:contextualSpacing/>
        <w:jc w:val="left"/>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连接各个场地之间的道路、供矿石、废石、材料等运输。矿区道路为土石路，长</w:t>
      </w:r>
      <w:r>
        <w:rPr>
          <w:rFonts w:hint="default" w:ascii="Times New Roman" w:hAnsi="Times New Roman" w:eastAsia="宋体" w:cs="Times New Roman"/>
          <w:color w:val="auto"/>
          <w:sz w:val="24"/>
          <w:lang w:val="en-US" w:eastAsia="zh-CN"/>
        </w:rPr>
        <w:t>780</w:t>
      </w:r>
      <w:r>
        <w:rPr>
          <w:rFonts w:hint="default" w:ascii="Times New Roman" w:hAnsi="Times New Roman" w:eastAsia="宋体" w:cs="Times New Roman"/>
          <w:color w:val="auto"/>
          <w:sz w:val="24"/>
        </w:rPr>
        <w:t>m，宽度3m，占地面积</w:t>
      </w:r>
      <w:r>
        <w:rPr>
          <w:rFonts w:hint="default" w:ascii="Times New Roman" w:hAnsi="Times New Roman" w:eastAsia="宋体" w:cs="Times New Roman"/>
          <w:color w:val="auto"/>
          <w:sz w:val="24"/>
          <w:lang w:val="en-US" w:eastAsia="zh-CN"/>
        </w:rPr>
        <w:t>2340</w:t>
      </w:r>
      <w:r>
        <w:rPr>
          <w:rFonts w:hint="default" w:ascii="Times New Roman" w:hAnsi="Times New Roman" w:eastAsia="宋体" w:cs="Times New Roman"/>
          <w:color w:val="auto"/>
          <w:sz w:val="24"/>
        </w:rPr>
        <w:t>m</w:t>
      </w:r>
      <w:r>
        <w:rPr>
          <w:rFonts w:hint="default" w:ascii="Times New Roman" w:hAnsi="Times New Roman" w:eastAsia="宋体" w:cs="Times New Roman"/>
          <w:color w:val="auto"/>
          <w:sz w:val="24"/>
          <w:vertAlign w:val="superscript"/>
        </w:rPr>
        <w:t>2</w:t>
      </w:r>
      <w:r>
        <w:rPr>
          <w:rFonts w:hint="default" w:ascii="Times New Roman" w:hAnsi="Times New Roman" w:eastAsia="宋体" w:cs="Times New Roman"/>
          <w:color w:val="auto"/>
          <w:sz w:val="24"/>
        </w:rPr>
        <w:t>。</w:t>
      </w:r>
      <w:r>
        <w:rPr>
          <w:rFonts w:hint="default" w:ascii="Times New Roman" w:hAnsi="Times New Roman" w:eastAsia="宋体" w:cs="Times New Roman"/>
          <w:color w:val="auto"/>
          <w:sz w:val="24"/>
          <w:lang w:eastAsia="zh-CN"/>
        </w:rPr>
        <w:t>部分矿区道路存在切坡，道路切坡长度</w:t>
      </w:r>
      <w:r>
        <w:rPr>
          <w:rFonts w:hint="default" w:ascii="Times New Roman" w:hAnsi="Times New Roman" w:eastAsia="宋体" w:cs="Times New Roman"/>
          <w:color w:val="auto"/>
          <w:sz w:val="24"/>
          <w:lang w:val="en-US" w:eastAsia="zh-CN"/>
        </w:rPr>
        <w:t>355m，切坡高度1~2m，切坡坡度45~60°。</w:t>
      </w:r>
      <w:r>
        <w:rPr>
          <w:rFonts w:hint="default" w:ascii="Times New Roman" w:hAnsi="Times New Roman" w:eastAsia="宋体" w:cs="Times New Roman"/>
          <w:color w:val="auto"/>
          <w:sz w:val="24"/>
          <w:lang w:eastAsia="zh-CN"/>
        </w:rPr>
        <w:t>场地建设压占植被，</w:t>
      </w:r>
      <w:r>
        <w:rPr>
          <w:rFonts w:hint="default" w:ascii="Times New Roman" w:hAnsi="Times New Roman" w:eastAsia="宋体" w:cs="Times New Roman"/>
          <w:color w:val="auto"/>
          <w:sz w:val="24"/>
        </w:rPr>
        <w:t>破坏了地形地貌景观。</w:t>
      </w:r>
    </w:p>
    <w:p>
      <w:pPr>
        <w:keepNext w:val="0"/>
        <w:keepLines w:val="0"/>
        <w:pageBreakBefore w:val="0"/>
        <w:widowControl w:val="0"/>
        <w:kinsoku/>
        <w:wordWrap/>
        <w:overflowPunct/>
        <w:topLinePunct w:val="0"/>
        <w:autoSpaceDE/>
        <w:autoSpaceDN/>
        <w:bidi w:val="0"/>
        <w:adjustRightInd w:val="0"/>
        <w:spacing w:line="360" w:lineRule="auto"/>
        <w:ind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（4）土地资源影响现状</w:t>
      </w:r>
    </w:p>
    <w:p>
      <w:pPr>
        <w:pStyle w:val="2"/>
        <w:keepNext w:val="0"/>
        <w:keepLines w:val="0"/>
        <w:pageBreakBefore w:val="0"/>
        <w:widowControl w:val="0"/>
        <w:kinsoku/>
        <w:wordWrap/>
        <w:overflowPunct/>
        <w:topLinePunct w:val="0"/>
        <w:bidi w:val="0"/>
        <w:adjustRightInd w:val="0"/>
        <w:spacing w:line="360" w:lineRule="auto"/>
        <w:ind w:firstLine="480" w:firstLineChars="200"/>
        <w:textAlignment w:val="auto"/>
        <w:rPr>
          <w:rFonts w:hint="default"/>
          <w:color w:val="auto"/>
        </w:rPr>
      </w:pPr>
      <w:r>
        <w:rPr>
          <w:rFonts w:hint="default" w:ascii="Times New Roman" w:hAnsi="Times New Roman" w:eastAsia="宋体" w:cs="Times New Roman"/>
          <w:color w:val="auto"/>
          <w:sz w:val="24"/>
          <w:szCs w:val="24"/>
          <w:lang w:val="en-US" w:eastAsia="zh-CN"/>
        </w:rPr>
        <w:t>矿区道路</w:t>
      </w:r>
      <w:r>
        <w:rPr>
          <w:rFonts w:hint="default" w:ascii="Times New Roman" w:hAnsi="Times New Roman" w:eastAsia="宋体" w:cs="Times New Roman"/>
          <w:color w:val="auto"/>
          <w:sz w:val="24"/>
          <w:szCs w:val="24"/>
        </w:rPr>
        <w:t>损毁土地类型为</w:t>
      </w:r>
      <w:r>
        <w:rPr>
          <w:rFonts w:hint="default" w:ascii="Times New Roman" w:hAnsi="Times New Roman" w:eastAsia="宋体" w:cs="Times New Roman"/>
          <w:color w:val="auto"/>
          <w:sz w:val="24"/>
          <w:szCs w:val="24"/>
          <w:lang w:eastAsia="zh-CN"/>
        </w:rPr>
        <w:t>有林地，土地损毁程度属轻度。</w:t>
      </w:r>
    </w:p>
    <w:p>
      <w:pPr>
        <w:pStyle w:val="2"/>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eastAsia="宋体" w:cs="Times New Roman"/>
          <w:color w:val="auto"/>
          <w:lang w:eastAsia="zh-CN"/>
        </w:rPr>
      </w:pPr>
      <w:r>
        <w:rPr>
          <w:color w:val="auto"/>
        </w:rPr>
        <w:drawing>
          <wp:inline distT="0" distB="0" distL="114300" distR="114300">
            <wp:extent cx="3542030" cy="1694180"/>
            <wp:effectExtent l="0" t="0" r="1270" b="1270"/>
            <wp:docPr id="2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2"/>
                    <pic:cNvPicPr>
                      <a:picLocks noChangeAspect="1"/>
                    </pic:cNvPicPr>
                  </pic:nvPicPr>
                  <pic:blipFill>
                    <a:blip r:embed="rId11"/>
                    <a:stretch>
                      <a:fillRect/>
                    </a:stretch>
                  </pic:blipFill>
                  <pic:spPr>
                    <a:xfrm>
                      <a:off x="0" y="0"/>
                      <a:ext cx="3542030" cy="1694180"/>
                    </a:xfrm>
                    <a:prstGeom prst="rect">
                      <a:avLst/>
                    </a:prstGeom>
                    <a:noFill/>
                    <a:ln>
                      <a:noFill/>
                    </a:ln>
                  </pic:spPr>
                </pic:pic>
              </a:graphicData>
            </a:graphic>
          </wp:inline>
        </w:drawing>
      </w:r>
    </w:p>
    <w:p>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Style w:val="62"/>
          <w:rFonts w:hint="eastAsia" w:ascii="黑体" w:hAnsi="黑体" w:eastAsia="黑体" w:cs="黑体"/>
          <w:b w:val="0"/>
          <w:bCs w:val="0"/>
          <w:color w:val="auto"/>
          <w:kern w:val="0"/>
          <w:sz w:val="24"/>
          <w:szCs w:val="24"/>
          <w:lang w:val="en-US" w:eastAsia="zh-CN" w:bidi="ar-SA"/>
        </w:rPr>
      </w:pPr>
      <w:r>
        <w:rPr>
          <w:rFonts w:hint="eastAsia" w:ascii="黑体" w:hAnsi="黑体" w:eastAsia="黑体" w:cs="黑体"/>
          <w:b w:val="0"/>
          <w:bCs w:val="0"/>
          <w:color w:val="auto"/>
          <w:sz w:val="24"/>
          <w:szCs w:val="32"/>
          <w:lang w:eastAsia="zh-CN"/>
        </w:rPr>
        <w:t>照片</w:t>
      </w:r>
      <w:r>
        <w:rPr>
          <w:rFonts w:hint="eastAsia" w:ascii="黑体" w:hAnsi="黑体" w:eastAsia="黑体" w:cs="黑体"/>
          <w:b w:val="0"/>
          <w:bCs w:val="0"/>
          <w:color w:val="auto"/>
          <w:sz w:val="24"/>
          <w:szCs w:val="32"/>
          <w:lang w:val="en-US" w:eastAsia="zh-CN"/>
        </w:rPr>
        <w:t xml:space="preserve">4-4  </w:t>
      </w:r>
      <w:r>
        <w:rPr>
          <w:rFonts w:hint="eastAsia" w:ascii="黑体" w:hAnsi="黑体" w:eastAsia="黑体" w:cs="黑体"/>
          <w:b w:val="0"/>
          <w:bCs w:val="0"/>
          <w:color w:val="auto"/>
          <w:sz w:val="24"/>
          <w:highlight w:val="none"/>
        </w:rPr>
        <w:t>矿区道路</w:t>
      </w:r>
    </w:p>
    <w:p>
      <w:pPr>
        <w:pStyle w:val="2"/>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default" w:ascii="Times New Roman" w:hAnsi="Times New Roman" w:eastAsia="宋体" w:cs="Times New Roman"/>
          <w:color w:val="auto"/>
          <w:sz w:val="18"/>
          <w:szCs w:val="18"/>
          <w:lang w:eastAsia="zh-CN"/>
        </w:rPr>
      </w:pPr>
      <w:r>
        <w:rPr>
          <w:rStyle w:val="62"/>
          <w:rFonts w:hint="eastAsia" w:ascii="黑体" w:hAnsi="黑体" w:eastAsia="黑体" w:cs="黑体"/>
          <w:b w:val="0"/>
          <w:bCs w:val="0"/>
          <w:color w:val="auto"/>
          <w:kern w:val="0"/>
          <w:sz w:val="24"/>
          <w:szCs w:val="24"/>
          <w:lang w:val="en-US" w:eastAsia="zh-CN" w:bidi="ar-SA"/>
        </w:rPr>
        <w:t>表4-1  矿山地质环境问题现状说明表</w:t>
      </w:r>
    </w:p>
    <w:tbl>
      <w:tblPr>
        <w:tblStyle w:val="9"/>
        <w:tblW w:w="8119" w:type="dxa"/>
        <w:jc w:val="center"/>
        <w:shd w:val="clear" w:color="auto" w:fill="auto"/>
        <w:tblLayout w:type="autofit"/>
        <w:tblCellMar>
          <w:top w:w="0" w:type="dxa"/>
          <w:left w:w="0" w:type="dxa"/>
          <w:bottom w:w="0" w:type="dxa"/>
          <w:right w:w="0" w:type="dxa"/>
        </w:tblCellMar>
      </w:tblPr>
      <w:tblGrid>
        <w:gridCol w:w="943"/>
        <w:gridCol w:w="767"/>
        <w:gridCol w:w="918"/>
        <w:gridCol w:w="866"/>
        <w:gridCol w:w="3507"/>
        <w:gridCol w:w="1118"/>
      </w:tblGrid>
      <w:tr>
        <w:tblPrEx>
          <w:shd w:val="clear" w:color="auto" w:fill="auto"/>
          <w:tblCellMar>
            <w:top w:w="0" w:type="dxa"/>
            <w:left w:w="0" w:type="dxa"/>
            <w:bottom w:w="0" w:type="dxa"/>
            <w:right w:w="0" w:type="dxa"/>
          </w:tblCellMar>
        </w:tblPrEx>
        <w:trPr>
          <w:trHeight w:val="283" w:hRule="atLeast"/>
          <w:jc w:val="center"/>
        </w:trPr>
        <w:tc>
          <w:tcPr>
            <w:tcW w:w="94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名称</w:t>
            </w:r>
          </w:p>
        </w:tc>
        <w:tc>
          <w:tcPr>
            <w:tcW w:w="7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面积（㎡）</w:t>
            </w:r>
          </w:p>
        </w:tc>
        <w:tc>
          <w:tcPr>
            <w:tcW w:w="640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矿山地质环境问题</w:t>
            </w:r>
          </w:p>
        </w:tc>
      </w:tr>
      <w:tr>
        <w:tblPrEx>
          <w:shd w:val="clear" w:color="auto" w:fill="auto"/>
          <w:tblCellMar>
            <w:top w:w="0" w:type="dxa"/>
            <w:left w:w="0" w:type="dxa"/>
            <w:bottom w:w="0" w:type="dxa"/>
            <w:right w:w="0" w:type="dxa"/>
          </w:tblCellMar>
        </w:tblPrEx>
        <w:trPr>
          <w:trHeight w:val="283" w:hRule="atLeast"/>
          <w:jc w:val="center"/>
        </w:trPr>
        <w:tc>
          <w:tcPr>
            <w:tcW w:w="94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auto"/>
                <w:sz w:val="18"/>
                <w:szCs w:val="18"/>
                <w:u w:val="none"/>
              </w:rPr>
            </w:pP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auto"/>
                <w:sz w:val="18"/>
                <w:szCs w:val="18"/>
                <w:u w:val="none"/>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地质灾害</w:t>
            </w:r>
          </w:p>
        </w:tc>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含水层</w:t>
            </w:r>
          </w:p>
        </w:tc>
        <w:tc>
          <w:tcPr>
            <w:tcW w:w="35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地形地貌景观</w:t>
            </w:r>
          </w:p>
        </w:tc>
        <w:tc>
          <w:tcPr>
            <w:tcW w:w="1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土地资源</w:t>
            </w:r>
          </w:p>
        </w:tc>
      </w:tr>
      <w:tr>
        <w:tblPrEx>
          <w:shd w:val="clear" w:color="auto" w:fill="auto"/>
          <w:tblCellMar>
            <w:top w:w="0" w:type="dxa"/>
            <w:left w:w="0" w:type="dxa"/>
            <w:bottom w:w="0" w:type="dxa"/>
            <w:right w:w="0" w:type="dxa"/>
          </w:tblCellMar>
        </w:tblPrEx>
        <w:trPr>
          <w:trHeight w:val="283" w:hRule="atLeast"/>
          <w:jc w:val="center"/>
        </w:trPr>
        <w:tc>
          <w:tcPr>
            <w:tcW w:w="9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color w:val="auto"/>
                <w:sz w:val="18"/>
                <w:szCs w:val="18"/>
              </w:rPr>
              <w:t>露天采场</w:t>
            </w:r>
          </w:p>
        </w:tc>
        <w:tc>
          <w:tcPr>
            <w:tcW w:w="7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auto"/>
                <w:sz w:val="18"/>
                <w:szCs w:val="18"/>
                <w:u w:val="none"/>
                <w:lang w:val="en-US" w:eastAsia="zh-CN"/>
              </w:rPr>
            </w:pPr>
            <w:r>
              <w:rPr>
                <w:rFonts w:hint="default" w:ascii="Times New Roman" w:hAnsi="Times New Roman" w:eastAsia="宋体" w:cs="Times New Roman"/>
                <w:color w:val="auto"/>
                <w:sz w:val="18"/>
                <w:szCs w:val="18"/>
                <w:lang w:val="en-US" w:eastAsia="zh-CN"/>
              </w:rPr>
              <w:t>14904</w:t>
            </w:r>
          </w:p>
        </w:tc>
        <w:tc>
          <w:tcPr>
            <w:tcW w:w="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崩塌</w:t>
            </w:r>
          </w:p>
        </w:tc>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较轻</w:t>
            </w:r>
          </w:p>
        </w:tc>
        <w:tc>
          <w:tcPr>
            <w:tcW w:w="35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color w:val="auto"/>
                <w:sz w:val="18"/>
                <w:szCs w:val="18"/>
                <w:highlight w:val="none"/>
                <w:lang w:eastAsia="zh-CN"/>
              </w:rPr>
              <w:t>露天采场位于整个矿区范围内，近似长条形，</w:t>
            </w:r>
            <w:r>
              <w:rPr>
                <w:rFonts w:hint="default" w:ascii="Times New Roman" w:hAnsi="Times New Roman" w:eastAsia="宋体" w:cs="Times New Roman"/>
                <w:color w:val="auto"/>
                <w:sz w:val="18"/>
                <w:szCs w:val="18"/>
                <w:lang w:eastAsia="zh-CN"/>
              </w:rPr>
              <w:t>面积</w:t>
            </w:r>
            <w:r>
              <w:rPr>
                <w:rFonts w:hint="default" w:ascii="Times New Roman" w:hAnsi="Times New Roman" w:eastAsia="宋体" w:cs="Times New Roman"/>
                <w:color w:val="auto"/>
                <w:sz w:val="18"/>
                <w:szCs w:val="18"/>
                <w:lang w:val="en-US" w:eastAsia="zh-CN"/>
              </w:rPr>
              <w:t>14904m</w:t>
            </w:r>
            <w:r>
              <w:rPr>
                <w:rFonts w:hint="default" w:ascii="Times New Roman" w:hAnsi="Times New Roman" w:eastAsia="宋体" w:cs="Times New Roman"/>
                <w:color w:val="auto"/>
                <w:sz w:val="18"/>
                <w:szCs w:val="18"/>
                <w:vertAlign w:val="superscript"/>
                <w:lang w:val="en-US" w:eastAsia="zh-CN"/>
              </w:rPr>
              <w:t>2</w:t>
            </w:r>
            <w:r>
              <w:rPr>
                <w:rFonts w:hint="default" w:ascii="Times New Roman" w:hAnsi="Times New Roman" w:eastAsia="宋体" w:cs="Times New Roman"/>
                <w:color w:val="auto"/>
                <w:sz w:val="18"/>
                <w:szCs w:val="18"/>
                <w:vertAlign w:val="baseline"/>
                <w:lang w:val="en-US" w:eastAsia="zh-CN"/>
              </w:rPr>
              <w:t>，</w:t>
            </w:r>
            <w:r>
              <w:rPr>
                <w:rFonts w:hint="default" w:ascii="Times New Roman" w:hAnsi="Times New Roman" w:eastAsia="宋体" w:cs="Times New Roman"/>
                <w:color w:val="auto"/>
                <w:sz w:val="18"/>
                <w:szCs w:val="18"/>
                <w:lang w:eastAsia="zh-CN"/>
              </w:rPr>
              <w:t>长</w:t>
            </w:r>
            <w:r>
              <w:rPr>
                <w:rFonts w:hint="default" w:ascii="Times New Roman" w:hAnsi="Times New Roman" w:eastAsia="宋体" w:cs="Times New Roman"/>
                <w:color w:val="auto"/>
                <w:sz w:val="18"/>
                <w:szCs w:val="18"/>
              </w:rPr>
              <w:t>约</w:t>
            </w:r>
            <w:r>
              <w:rPr>
                <w:rFonts w:hint="default" w:ascii="Times New Roman" w:hAnsi="Times New Roman" w:eastAsia="宋体" w:cs="Times New Roman"/>
                <w:color w:val="auto"/>
                <w:sz w:val="18"/>
                <w:szCs w:val="18"/>
                <w:lang w:val="en-US" w:eastAsia="zh-CN"/>
              </w:rPr>
              <w:t>194</w:t>
            </w:r>
            <w:r>
              <w:rPr>
                <w:rFonts w:hint="default" w:ascii="Times New Roman" w:hAnsi="Times New Roman" w:eastAsia="宋体" w:cs="Times New Roman"/>
                <w:color w:val="auto"/>
                <w:sz w:val="18"/>
                <w:szCs w:val="18"/>
              </w:rPr>
              <w:t>m，宽约</w:t>
            </w:r>
            <w:r>
              <w:rPr>
                <w:rFonts w:hint="default" w:ascii="Times New Roman" w:hAnsi="Times New Roman" w:eastAsia="宋体" w:cs="Times New Roman"/>
                <w:color w:val="auto"/>
                <w:sz w:val="18"/>
                <w:szCs w:val="18"/>
                <w:lang w:val="en-US" w:eastAsia="zh-CN"/>
              </w:rPr>
              <w:t>84</w:t>
            </w:r>
            <w:r>
              <w:rPr>
                <w:rFonts w:hint="default" w:ascii="Times New Roman" w:hAnsi="Times New Roman" w:eastAsia="宋体" w:cs="Times New Roman"/>
                <w:color w:val="auto"/>
                <w:sz w:val="18"/>
                <w:szCs w:val="18"/>
              </w:rPr>
              <w:t>m，</w:t>
            </w:r>
            <w:r>
              <w:rPr>
                <w:rFonts w:hint="default" w:ascii="Times New Roman" w:hAnsi="Times New Roman" w:eastAsia="宋体" w:cs="Times New Roman"/>
                <w:color w:val="auto"/>
                <w:sz w:val="18"/>
                <w:szCs w:val="18"/>
                <w:highlight w:val="none"/>
                <w:lang w:eastAsia="zh-CN"/>
              </w:rPr>
              <w:t>采深</w:t>
            </w:r>
            <w:r>
              <w:rPr>
                <w:rFonts w:hint="default" w:ascii="Times New Roman" w:hAnsi="Times New Roman" w:eastAsia="宋体" w:cs="Times New Roman"/>
                <w:color w:val="auto"/>
                <w:sz w:val="18"/>
                <w:szCs w:val="18"/>
                <w:highlight w:val="none"/>
                <w:lang w:val="en-US" w:eastAsia="zh-CN"/>
              </w:rPr>
              <w:t>1-49m，采场底标高850m，现状露天采场形成一层台阶，开采较不规范，露天采场边坡坡度50~75°，局部近似直立。露天采场四周边坡均存在越界行为。</w:t>
            </w:r>
          </w:p>
        </w:tc>
        <w:tc>
          <w:tcPr>
            <w:tcW w:w="1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损毁有林地</w:t>
            </w:r>
          </w:p>
        </w:tc>
      </w:tr>
      <w:tr>
        <w:tblPrEx>
          <w:shd w:val="clear" w:color="auto" w:fill="auto"/>
          <w:tblCellMar>
            <w:top w:w="0" w:type="dxa"/>
            <w:left w:w="0" w:type="dxa"/>
            <w:bottom w:w="0" w:type="dxa"/>
            <w:right w:w="0" w:type="dxa"/>
          </w:tblCellMar>
        </w:tblPrEx>
        <w:trPr>
          <w:trHeight w:val="283" w:hRule="atLeast"/>
          <w:jc w:val="center"/>
        </w:trPr>
        <w:tc>
          <w:tcPr>
            <w:tcW w:w="9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auto"/>
                <w:sz w:val="18"/>
                <w:szCs w:val="18"/>
                <w:u w:val="none"/>
                <w:lang w:eastAsia="zh-CN"/>
              </w:rPr>
            </w:pPr>
            <w:r>
              <w:rPr>
                <w:rFonts w:hint="default" w:ascii="Times New Roman" w:hAnsi="Times New Roman" w:eastAsia="宋体" w:cs="Times New Roman"/>
                <w:color w:val="auto"/>
                <w:sz w:val="18"/>
                <w:szCs w:val="18"/>
                <w:lang w:eastAsia="zh-CN"/>
              </w:rPr>
              <w:t>办公生活区</w:t>
            </w:r>
          </w:p>
        </w:tc>
        <w:tc>
          <w:tcPr>
            <w:tcW w:w="7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auto"/>
                <w:sz w:val="18"/>
                <w:szCs w:val="18"/>
                <w:u w:val="none"/>
                <w:lang w:val="en-US" w:eastAsia="zh-CN"/>
              </w:rPr>
            </w:pPr>
            <w:r>
              <w:rPr>
                <w:rFonts w:hint="default" w:ascii="Times New Roman" w:hAnsi="Times New Roman" w:eastAsia="宋体" w:cs="Times New Roman"/>
                <w:color w:val="auto"/>
                <w:sz w:val="18"/>
                <w:szCs w:val="18"/>
                <w:lang w:val="en-US" w:eastAsia="zh-CN"/>
              </w:rPr>
              <w:t>68</w:t>
            </w:r>
          </w:p>
        </w:tc>
        <w:tc>
          <w:tcPr>
            <w:tcW w:w="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不发育</w:t>
            </w:r>
          </w:p>
        </w:tc>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较轻</w:t>
            </w:r>
          </w:p>
        </w:tc>
        <w:tc>
          <w:tcPr>
            <w:tcW w:w="35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color w:val="auto"/>
                <w:sz w:val="18"/>
                <w:szCs w:val="18"/>
                <w:highlight w:val="none"/>
                <w:lang w:val="en-US" w:eastAsia="zh-CN"/>
              </w:rPr>
              <w:t>办公生活区位于矿区西侧，矿区范围外，建筑面积68m</w:t>
            </w:r>
            <w:r>
              <w:rPr>
                <w:rFonts w:hint="default" w:ascii="Times New Roman" w:hAnsi="Times New Roman" w:eastAsia="宋体" w:cs="Times New Roman"/>
                <w:color w:val="auto"/>
                <w:sz w:val="18"/>
                <w:szCs w:val="18"/>
                <w:highlight w:val="none"/>
                <w:vertAlign w:val="superscript"/>
                <w:lang w:val="en-US" w:eastAsia="zh-CN"/>
              </w:rPr>
              <w:t>2</w:t>
            </w:r>
            <w:r>
              <w:rPr>
                <w:rFonts w:hint="default" w:ascii="Times New Roman" w:hAnsi="Times New Roman" w:eastAsia="宋体" w:cs="Times New Roman"/>
                <w:color w:val="auto"/>
                <w:sz w:val="18"/>
                <w:szCs w:val="18"/>
                <w:highlight w:val="none"/>
                <w:lang w:val="en-US" w:eastAsia="zh-CN"/>
              </w:rPr>
              <w:t>，建筑物高度3m，办公生活区周围场地均已进行治理。</w:t>
            </w:r>
          </w:p>
        </w:tc>
        <w:tc>
          <w:tcPr>
            <w:tcW w:w="1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损毁有林地</w:t>
            </w:r>
          </w:p>
        </w:tc>
      </w:tr>
      <w:tr>
        <w:tblPrEx>
          <w:shd w:val="clear" w:color="auto" w:fill="auto"/>
          <w:tblCellMar>
            <w:top w:w="0" w:type="dxa"/>
            <w:left w:w="0" w:type="dxa"/>
            <w:bottom w:w="0" w:type="dxa"/>
            <w:right w:w="0" w:type="dxa"/>
          </w:tblCellMar>
        </w:tblPrEx>
        <w:trPr>
          <w:trHeight w:val="283" w:hRule="atLeast"/>
          <w:jc w:val="center"/>
        </w:trPr>
        <w:tc>
          <w:tcPr>
            <w:tcW w:w="9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color w:val="auto"/>
                <w:sz w:val="18"/>
                <w:szCs w:val="18"/>
                <w:lang w:eastAsia="zh-CN"/>
              </w:rPr>
            </w:pPr>
            <w:r>
              <w:rPr>
                <w:rFonts w:hint="default" w:ascii="Times New Roman" w:hAnsi="Times New Roman" w:eastAsia="宋体" w:cs="Times New Roman"/>
                <w:color w:val="auto"/>
                <w:sz w:val="18"/>
                <w:szCs w:val="18"/>
                <w:lang w:eastAsia="zh-CN"/>
              </w:rPr>
              <w:t>料堆</w:t>
            </w:r>
          </w:p>
        </w:tc>
        <w:tc>
          <w:tcPr>
            <w:tcW w:w="7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11355</w:t>
            </w:r>
          </w:p>
        </w:tc>
        <w:tc>
          <w:tcPr>
            <w:tcW w:w="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18"/>
                <w:szCs w:val="18"/>
                <w:u w:val="none"/>
                <w:lang w:val="en-US" w:eastAsia="zh-CN" w:bidi="ar"/>
              </w:rPr>
            </w:pPr>
            <w:r>
              <w:rPr>
                <w:rFonts w:hint="default" w:ascii="Times New Roman" w:hAnsi="Times New Roman" w:eastAsia="宋体" w:cs="Times New Roman"/>
                <w:i w:val="0"/>
                <w:color w:val="auto"/>
                <w:kern w:val="0"/>
                <w:sz w:val="18"/>
                <w:szCs w:val="18"/>
                <w:u w:val="none"/>
                <w:lang w:val="en-US" w:eastAsia="zh-CN" w:bidi="ar"/>
              </w:rPr>
              <w:t>不发育</w:t>
            </w:r>
          </w:p>
        </w:tc>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18"/>
                <w:szCs w:val="18"/>
                <w:u w:val="none"/>
                <w:lang w:val="en-US" w:eastAsia="zh-CN" w:bidi="ar"/>
              </w:rPr>
            </w:pPr>
            <w:r>
              <w:rPr>
                <w:rFonts w:hint="default" w:ascii="Times New Roman" w:hAnsi="Times New Roman" w:eastAsia="宋体" w:cs="Times New Roman"/>
                <w:i w:val="0"/>
                <w:color w:val="auto"/>
                <w:kern w:val="0"/>
                <w:sz w:val="18"/>
                <w:szCs w:val="18"/>
                <w:u w:val="none"/>
                <w:lang w:val="en-US" w:eastAsia="zh-CN" w:bidi="ar"/>
              </w:rPr>
              <w:t>较轻</w:t>
            </w:r>
          </w:p>
        </w:tc>
        <w:tc>
          <w:tcPr>
            <w:tcW w:w="35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highlight w:val="none"/>
                <w:lang w:val="en-US" w:eastAsia="zh-CN"/>
              </w:rPr>
              <w:t>料堆场地位于矿区范围外，矿区西北侧，</w:t>
            </w:r>
            <w:r>
              <w:rPr>
                <w:rFonts w:hint="default" w:ascii="Times New Roman" w:hAnsi="Times New Roman" w:eastAsia="宋体" w:cs="Times New Roman"/>
                <w:color w:val="auto"/>
                <w:sz w:val="18"/>
                <w:szCs w:val="18"/>
                <w:highlight w:val="none"/>
              </w:rPr>
              <w:t>占地面积</w:t>
            </w:r>
            <w:r>
              <w:rPr>
                <w:rFonts w:hint="default" w:ascii="Times New Roman" w:hAnsi="Times New Roman" w:eastAsia="宋体" w:cs="Times New Roman"/>
                <w:color w:val="auto"/>
                <w:sz w:val="18"/>
                <w:szCs w:val="18"/>
                <w:highlight w:val="none"/>
                <w:lang w:val="en-US" w:eastAsia="zh-CN"/>
              </w:rPr>
              <w:t>11355</w:t>
            </w:r>
            <w:r>
              <w:rPr>
                <w:rFonts w:hint="default" w:ascii="Times New Roman" w:hAnsi="Times New Roman" w:eastAsia="宋体" w:cs="Times New Roman"/>
                <w:color w:val="auto"/>
                <w:sz w:val="18"/>
                <w:szCs w:val="18"/>
                <w:highlight w:val="none"/>
              </w:rPr>
              <w:t>m</w:t>
            </w:r>
            <w:r>
              <w:rPr>
                <w:rFonts w:hint="default" w:ascii="Times New Roman" w:hAnsi="Times New Roman" w:eastAsia="宋体" w:cs="Times New Roman"/>
                <w:color w:val="auto"/>
                <w:sz w:val="18"/>
                <w:szCs w:val="18"/>
                <w:highlight w:val="none"/>
                <w:vertAlign w:val="superscript"/>
              </w:rPr>
              <w:t>2</w:t>
            </w:r>
            <w:r>
              <w:rPr>
                <w:rFonts w:hint="default" w:ascii="Times New Roman" w:hAnsi="Times New Roman" w:eastAsia="宋体" w:cs="Times New Roman"/>
                <w:color w:val="auto"/>
                <w:sz w:val="18"/>
                <w:szCs w:val="18"/>
                <w:highlight w:val="none"/>
                <w:lang w:eastAsia="zh-CN"/>
              </w:rPr>
              <w:t>，</w:t>
            </w:r>
            <w:r>
              <w:rPr>
                <w:rFonts w:hint="default" w:ascii="Times New Roman" w:hAnsi="Times New Roman" w:eastAsia="宋体" w:cs="Times New Roman"/>
                <w:b w:val="0"/>
                <w:bCs w:val="0"/>
                <w:color w:val="auto"/>
                <w:kern w:val="0"/>
                <w:sz w:val="18"/>
                <w:szCs w:val="18"/>
                <w:lang w:val="en-US" w:eastAsia="zh-CN"/>
              </w:rPr>
              <w:t>堆积高度3~5m，</w:t>
            </w:r>
            <w:r>
              <w:rPr>
                <w:rFonts w:hint="default" w:ascii="Times New Roman" w:hAnsi="Times New Roman" w:eastAsia="宋体" w:cs="Times New Roman"/>
                <w:color w:val="auto"/>
                <w:sz w:val="18"/>
                <w:szCs w:val="18"/>
              </w:rPr>
              <w:t>堆放坡度</w:t>
            </w:r>
            <w:r>
              <w:rPr>
                <w:rFonts w:hint="default" w:ascii="Times New Roman" w:hAnsi="Times New Roman" w:eastAsia="宋体" w:cs="Times New Roman"/>
                <w:color w:val="auto"/>
                <w:sz w:val="18"/>
                <w:szCs w:val="18"/>
                <w:lang w:eastAsia="zh-CN"/>
              </w:rPr>
              <w:t>＜</w:t>
            </w:r>
            <w:r>
              <w:rPr>
                <w:rFonts w:hint="default" w:ascii="Times New Roman" w:hAnsi="Times New Roman" w:eastAsia="宋体" w:cs="Times New Roman"/>
                <w:color w:val="auto"/>
                <w:sz w:val="18"/>
                <w:szCs w:val="18"/>
                <w:lang w:val="en-US" w:eastAsia="zh-CN"/>
              </w:rPr>
              <w:t>40</w:t>
            </w:r>
            <w:r>
              <w:rPr>
                <w:rFonts w:hint="default" w:ascii="Times New Roman" w:hAnsi="Times New Roman" w:eastAsia="宋体" w:cs="Times New Roman"/>
                <w:color w:val="auto"/>
                <w:sz w:val="18"/>
                <w:szCs w:val="18"/>
              </w:rPr>
              <w:t>°，</w:t>
            </w:r>
            <w:r>
              <w:rPr>
                <w:rFonts w:hint="default" w:ascii="Times New Roman" w:hAnsi="Times New Roman" w:eastAsia="宋体" w:cs="Times New Roman"/>
                <w:color w:val="auto"/>
                <w:sz w:val="18"/>
                <w:szCs w:val="18"/>
                <w:lang w:eastAsia="zh-CN"/>
              </w:rPr>
              <w:t>堆积方量约</w:t>
            </w:r>
            <w:r>
              <w:rPr>
                <w:rFonts w:hint="default" w:ascii="Times New Roman" w:hAnsi="Times New Roman" w:eastAsia="宋体" w:cs="Times New Roman"/>
                <w:color w:val="auto"/>
                <w:sz w:val="18"/>
                <w:szCs w:val="18"/>
                <w:lang w:val="en-US" w:eastAsia="zh-CN"/>
              </w:rPr>
              <w:t>12600m</w:t>
            </w:r>
            <w:r>
              <w:rPr>
                <w:rFonts w:hint="default" w:ascii="Times New Roman" w:hAnsi="Times New Roman" w:eastAsia="宋体" w:cs="Times New Roman"/>
                <w:color w:val="auto"/>
                <w:sz w:val="18"/>
                <w:szCs w:val="18"/>
                <w:vertAlign w:val="superscript"/>
                <w:lang w:val="en-US" w:eastAsia="zh-CN"/>
              </w:rPr>
              <w:t>3</w:t>
            </w:r>
            <w:r>
              <w:rPr>
                <w:rFonts w:hint="default" w:ascii="Times New Roman" w:hAnsi="Times New Roman" w:eastAsia="宋体" w:cs="Times New Roman"/>
                <w:color w:val="auto"/>
                <w:sz w:val="18"/>
                <w:szCs w:val="18"/>
                <w:lang w:val="en-US" w:eastAsia="zh-CN"/>
              </w:rPr>
              <w:t>。</w:t>
            </w:r>
          </w:p>
        </w:tc>
        <w:tc>
          <w:tcPr>
            <w:tcW w:w="1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18"/>
                <w:szCs w:val="18"/>
                <w:u w:val="none"/>
                <w:lang w:val="en-US" w:eastAsia="zh-CN" w:bidi="ar"/>
              </w:rPr>
            </w:pPr>
            <w:r>
              <w:rPr>
                <w:rFonts w:hint="default" w:ascii="Times New Roman" w:hAnsi="Times New Roman" w:eastAsia="宋体" w:cs="Times New Roman"/>
                <w:i w:val="0"/>
                <w:color w:val="auto"/>
                <w:kern w:val="0"/>
                <w:sz w:val="18"/>
                <w:szCs w:val="18"/>
                <w:u w:val="none"/>
                <w:lang w:val="en-US" w:eastAsia="zh-CN" w:bidi="ar"/>
              </w:rPr>
              <w:t>损毁有林地</w:t>
            </w:r>
          </w:p>
        </w:tc>
      </w:tr>
      <w:tr>
        <w:tblPrEx>
          <w:shd w:val="clear" w:color="auto" w:fill="auto"/>
          <w:tblCellMar>
            <w:top w:w="0" w:type="dxa"/>
            <w:left w:w="0" w:type="dxa"/>
            <w:bottom w:w="0" w:type="dxa"/>
            <w:right w:w="0" w:type="dxa"/>
          </w:tblCellMar>
        </w:tblPrEx>
        <w:trPr>
          <w:trHeight w:val="283" w:hRule="atLeast"/>
          <w:jc w:val="center"/>
        </w:trPr>
        <w:tc>
          <w:tcPr>
            <w:tcW w:w="9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auto"/>
                <w:sz w:val="18"/>
                <w:szCs w:val="18"/>
                <w:u w:val="none"/>
                <w:lang w:eastAsia="zh-CN"/>
              </w:rPr>
            </w:pPr>
            <w:r>
              <w:rPr>
                <w:rFonts w:hint="default" w:ascii="Times New Roman" w:hAnsi="Times New Roman" w:eastAsia="宋体" w:cs="Times New Roman"/>
                <w:bCs/>
                <w:color w:val="auto"/>
                <w:sz w:val="18"/>
                <w:szCs w:val="18"/>
                <w:lang w:eastAsia="zh-CN"/>
              </w:rPr>
              <w:t>矿区道路</w:t>
            </w:r>
          </w:p>
        </w:tc>
        <w:tc>
          <w:tcPr>
            <w:tcW w:w="7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auto"/>
                <w:sz w:val="18"/>
                <w:szCs w:val="18"/>
                <w:u w:val="none"/>
                <w:lang w:val="en-US" w:eastAsia="zh-CN"/>
              </w:rPr>
            </w:pPr>
            <w:r>
              <w:rPr>
                <w:rFonts w:hint="default" w:ascii="Times New Roman" w:hAnsi="Times New Roman" w:eastAsia="宋体" w:cs="Times New Roman"/>
                <w:color w:val="auto"/>
                <w:sz w:val="18"/>
                <w:szCs w:val="18"/>
                <w:lang w:val="en-US" w:eastAsia="zh-CN"/>
              </w:rPr>
              <w:t>2340</w:t>
            </w:r>
          </w:p>
        </w:tc>
        <w:tc>
          <w:tcPr>
            <w:tcW w:w="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不发育</w:t>
            </w:r>
          </w:p>
        </w:tc>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较轻</w:t>
            </w:r>
          </w:p>
        </w:tc>
        <w:tc>
          <w:tcPr>
            <w:tcW w:w="35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color w:val="auto"/>
                <w:sz w:val="18"/>
                <w:szCs w:val="18"/>
              </w:rPr>
              <w:t>连接各个场地之间的道路、供矿石、废石、材料等运输。矿区道路为土石路，长</w:t>
            </w:r>
            <w:r>
              <w:rPr>
                <w:rFonts w:hint="default" w:ascii="Times New Roman" w:hAnsi="Times New Roman" w:eastAsia="宋体" w:cs="Times New Roman"/>
                <w:color w:val="auto"/>
                <w:sz w:val="18"/>
                <w:szCs w:val="18"/>
                <w:lang w:val="en-US" w:eastAsia="zh-CN"/>
              </w:rPr>
              <w:t>780</w:t>
            </w:r>
            <w:r>
              <w:rPr>
                <w:rFonts w:hint="default" w:ascii="Times New Roman" w:hAnsi="Times New Roman" w:eastAsia="宋体" w:cs="Times New Roman"/>
                <w:color w:val="auto"/>
                <w:sz w:val="18"/>
                <w:szCs w:val="18"/>
              </w:rPr>
              <w:t>m，宽度3m，占地面积</w:t>
            </w:r>
            <w:r>
              <w:rPr>
                <w:rFonts w:hint="default" w:ascii="Times New Roman" w:hAnsi="Times New Roman" w:eastAsia="宋体" w:cs="Times New Roman"/>
                <w:color w:val="auto"/>
                <w:sz w:val="18"/>
                <w:szCs w:val="18"/>
                <w:lang w:val="en-US" w:eastAsia="zh-CN"/>
              </w:rPr>
              <w:t>2340</w:t>
            </w:r>
            <w:r>
              <w:rPr>
                <w:rFonts w:hint="default" w:ascii="Times New Roman" w:hAnsi="Times New Roman" w:eastAsia="宋体" w:cs="Times New Roman"/>
                <w:color w:val="auto"/>
                <w:sz w:val="18"/>
                <w:szCs w:val="18"/>
              </w:rPr>
              <w:t>m</w:t>
            </w:r>
            <w:r>
              <w:rPr>
                <w:rFonts w:hint="default" w:ascii="Times New Roman" w:hAnsi="Times New Roman" w:eastAsia="宋体" w:cs="Times New Roman"/>
                <w:color w:val="auto"/>
                <w:sz w:val="18"/>
                <w:szCs w:val="18"/>
                <w:vertAlign w:val="superscript"/>
              </w:rPr>
              <w:t>2</w:t>
            </w:r>
            <w:r>
              <w:rPr>
                <w:rFonts w:hint="default" w:ascii="Times New Roman" w:hAnsi="Times New Roman" w:eastAsia="宋体" w:cs="Times New Roman"/>
                <w:color w:val="auto"/>
                <w:sz w:val="18"/>
                <w:szCs w:val="18"/>
              </w:rPr>
              <w:t>。</w:t>
            </w:r>
            <w:r>
              <w:rPr>
                <w:rFonts w:hint="default" w:ascii="Times New Roman" w:hAnsi="Times New Roman" w:eastAsia="宋体" w:cs="Times New Roman"/>
                <w:color w:val="auto"/>
                <w:sz w:val="18"/>
                <w:szCs w:val="18"/>
                <w:lang w:eastAsia="zh-CN"/>
              </w:rPr>
              <w:t>部分矿区道路存在切坡，道路切坡长度</w:t>
            </w:r>
            <w:r>
              <w:rPr>
                <w:rFonts w:hint="default" w:ascii="Times New Roman" w:hAnsi="Times New Roman" w:eastAsia="宋体" w:cs="Times New Roman"/>
                <w:color w:val="auto"/>
                <w:sz w:val="18"/>
                <w:szCs w:val="18"/>
                <w:lang w:val="en-US" w:eastAsia="zh-CN"/>
              </w:rPr>
              <w:t>355m，切坡高度1~2m，切坡坡度45~60°。</w:t>
            </w:r>
          </w:p>
        </w:tc>
        <w:tc>
          <w:tcPr>
            <w:tcW w:w="1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损毁有林地</w:t>
            </w:r>
          </w:p>
        </w:tc>
      </w:tr>
      <w:tr>
        <w:tblPrEx>
          <w:shd w:val="clear" w:color="auto" w:fill="auto"/>
          <w:tblCellMar>
            <w:top w:w="0" w:type="dxa"/>
            <w:left w:w="0" w:type="dxa"/>
            <w:bottom w:w="0" w:type="dxa"/>
            <w:right w:w="0" w:type="dxa"/>
          </w:tblCellMar>
        </w:tblPrEx>
        <w:trPr>
          <w:trHeight w:val="283" w:hRule="atLeast"/>
          <w:jc w:val="center"/>
        </w:trPr>
        <w:tc>
          <w:tcPr>
            <w:tcW w:w="9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合计</w:t>
            </w:r>
          </w:p>
        </w:tc>
        <w:tc>
          <w:tcPr>
            <w:tcW w:w="7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lang w:val="en-US"/>
              </w:rPr>
            </w:pPr>
            <w:r>
              <w:rPr>
                <w:rFonts w:hint="default" w:ascii="Times New Roman" w:hAnsi="Times New Roman" w:eastAsia="宋体" w:cs="Times New Roman"/>
                <w:i w:val="0"/>
                <w:color w:val="auto"/>
                <w:kern w:val="0"/>
                <w:sz w:val="18"/>
                <w:szCs w:val="18"/>
                <w:u w:val="none"/>
                <w:lang w:val="en-US" w:eastAsia="zh-CN" w:bidi="ar"/>
              </w:rPr>
              <w:t>28667</w:t>
            </w:r>
          </w:p>
        </w:tc>
        <w:tc>
          <w:tcPr>
            <w:tcW w:w="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auto"/>
                <w:sz w:val="18"/>
                <w:szCs w:val="18"/>
                <w:u w:val="none"/>
                <w:lang w:val="en-US" w:eastAsia="zh-CN"/>
              </w:rPr>
            </w:pPr>
            <w:r>
              <w:rPr>
                <w:rFonts w:hint="default" w:ascii="Times New Roman" w:hAnsi="Times New Roman" w:eastAsia="宋体" w:cs="Times New Roman"/>
                <w:i w:val="0"/>
                <w:color w:val="auto"/>
                <w:sz w:val="18"/>
                <w:szCs w:val="18"/>
                <w:u w:val="none"/>
                <w:lang w:val="en-US" w:eastAsia="zh-CN"/>
              </w:rPr>
              <w:t>--</w:t>
            </w:r>
          </w:p>
        </w:tc>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auto"/>
                <w:sz w:val="18"/>
                <w:szCs w:val="18"/>
                <w:u w:val="none"/>
                <w:lang w:val="en-US" w:eastAsia="zh-CN"/>
              </w:rPr>
            </w:pPr>
            <w:r>
              <w:rPr>
                <w:rFonts w:hint="default" w:ascii="Times New Roman" w:hAnsi="Times New Roman" w:eastAsia="宋体" w:cs="Times New Roman"/>
                <w:i w:val="0"/>
                <w:color w:val="auto"/>
                <w:sz w:val="18"/>
                <w:szCs w:val="18"/>
                <w:u w:val="none"/>
                <w:lang w:val="en-US" w:eastAsia="zh-CN"/>
              </w:rPr>
              <w:t>--</w:t>
            </w:r>
          </w:p>
        </w:tc>
        <w:tc>
          <w:tcPr>
            <w:tcW w:w="35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auto"/>
                <w:sz w:val="18"/>
                <w:szCs w:val="18"/>
                <w:u w:val="none"/>
                <w:lang w:val="en-US" w:eastAsia="zh-CN"/>
              </w:rPr>
            </w:pPr>
            <w:r>
              <w:rPr>
                <w:rFonts w:hint="default" w:ascii="Times New Roman" w:hAnsi="Times New Roman" w:eastAsia="宋体" w:cs="Times New Roman"/>
                <w:i w:val="0"/>
                <w:color w:val="auto"/>
                <w:sz w:val="18"/>
                <w:szCs w:val="18"/>
                <w:u w:val="none"/>
                <w:lang w:val="en-US" w:eastAsia="zh-CN"/>
              </w:rPr>
              <w:t>--</w:t>
            </w:r>
          </w:p>
        </w:tc>
        <w:tc>
          <w:tcPr>
            <w:tcW w:w="1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auto"/>
                <w:sz w:val="18"/>
                <w:szCs w:val="18"/>
                <w:u w:val="none"/>
                <w:lang w:val="en-US" w:eastAsia="zh-CN"/>
              </w:rPr>
            </w:pPr>
            <w:r>
              <w:rPr>
                <w:rFonts w:hint="default" w:ascii="Times New Roman" w:hAnsi="Times New Roman" w:eastAsia="宋体" w:cs="Times New Roman"/>
                <w:i w:val="0"/>
                <w:color w:val="auto"/>
                <w:sz w:val="18"/>
                <w:szCs w:val="18"/>
                <w:u w:val="none"/>
                <w:lang w:val="en-US" w:eastAsia="zh-CN"/>
              </w:rPr>
              <w:t>--</w:t>
            </w:r>
          </w:p>
        </w:tc>
      </w:tr>
    </w:tbl>
    <w:p>
      <w:pPr>
        <w:keepNext w:val="0"/>
        <w:keepLines w:val="0"/>
        <w:pageBreakBefore w:val="0"/>
        <w:widowControl/>
        <w:suppressLineNumbers w:val="0"/>
        <w:kinsoku/>
        <w:wordWrap/>
        <w:overflowPunct/>
        <w:topLinePunct w:val="0"/>
        <w:autoSpaceDE/>
        <w:autoSpaceDN/>
        <w:bidi w:val="0"/>
        <w:adjustRightInd w:val="0"/>
        <w:snapToGrid w:val="0"/>
        <w:spacing w:before="157" w:beforeLines="50" w:line="360" w:lineRule="auto"/>
        <w:ind w:left="0" w:leftChars="0" w:firstLine="0" w:firstLineChars="0"/>
        <w:jc w:val="center"/>
        <w:textAlignment w:val="auto"/>
        <w:rPr>
          <w:rStyle w:val="62"/>
          <w:rFonts w:hint="default" w:ascii="Times New Roman" w:hAnsi="Times New Roman" w:eastAsia="宋体" w:cs="Times New Roman"/>
          <w:b/>
          <w:bCs/>
          <w:color w:val="auto"/>
          <w:kern w:val="0"/>
          <w:sz w:val="21"/>
          <w:szCs w:val="21"/>
          <w:lang w:val="en-US" w:eastAsia="zh-CN" w:bidi="ar-SA"/>
        </w:rPr>
      </w:pPr>
      <w:r>
        <w:rPr>
          <w:rStyle w:val="62"/>
          <w:rFonts w:hint="eastAsia" w:ascii="黑体" w:hAnsi="黑体" w:eastAsia="黑体" w:cs="黑体"/>
          <w:b w:val="0"/>
          <w:bCs w:val="0"/>
          <w:color w:val="auto"/>
          <w:kern w:val="0"/>
          <w:sz w:val="24"/>
          <w:szCs w:val="24"/>
          <w:lang w:val="en-US" w:eastAsia="zh-CN" w:bidi="ar-SA"/>
        </w:rPr>
        <w:t>表4-2  已损毁土地利用现状及权属表</w:t>
      </w:r>
    </w:p>
    <w:tbl>
      <w:tblPr>
        <w:tblStyle w:val="9"/>
        <w:tblW w:w="8119" w:type="dxa"/>
        <w:tblInd w:w="1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5"/>
        <w:gridCol w:w="753"/>
        <w:gridCol w:w="1225"/>
        <w:gridCol w:w="762"/>
        <w:gridCol w:w="1713"/>
        <w:gridCol w:w="1141"/>
        <w:gridCol w:w="11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blHeader/>
        </w:trPr>
        <w:tc>
          <w:tcPr>
            <w:tcW w:w="1365" w:type="dxa"/>
            <w:vMerge w:val="restart"/>
            <w:noWrap w:val="0"/>
            <w:vAlign w:val="center"/>
          </w:tcPr>
          <w:p>
            <w:pPr>
              <w:spacing w:after="0" w:line="240" w:lineRule="auto"/>
              <w:contextualSpacing/>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破坏单元</w:t>
            </w:r>
          </w:p>
        </w:tc>
        <w:tc>
          <w:tcPr>
            <w:tcW w:w="1978" w:type="dxa"/>
            <w:gridSpan w:val="2"/>
            <w:noWrap w:val="0"/>
            <w:vAlign w:val="center"/>
          </w:tcPr>
          <w:p>
            <w:pPr>
              <w:spacing w:after="0" w:line="240" w:lineRule="auto"/>
              <w:contextualSpacing/>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一级地类</w:t>
            </w:r>
          </w:p>
        </w:tc>
        <w:tc>
          <w:tcPr>
            <w:tcW w:w="2475" w:type="dxa"/>
            <w:gridSpan w:val="2"/>
            <w:noWrap w:val="0"/>
            <w:vAlign w:val="center"/>
          </w:tcPr>
          <w:p>
            <w:pPr>
              <w:spacing w:after="0" w:line="240" w:lineRule="auto"/>
              <w:contextualSpacing/>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二级地类</w:t>
            </w:r>
          </w:p>
        </w:tc>
        <w:tc>
          <w:tcPr>
            <w:tcW w:w="1141" w:type="dxa"/>
            <w:vMerge w:val="restart"/>
            <w:noWrap w:val="0"/>
            <w:vAlign w:val="center"/>
          </w:tcPr>
          <w:p>
            <w:pPr>
              <w:spacing w:after="0" w:line="240" w:lineRule="auto"/>
              <w:contextualSpacing/>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面积</w:t>
            </w:r>
          </w:p>
          <w:p>
            <w:pPr>
              <w:spacing w:after="0" w:line="240" w:lineRule="auto"/>
              <w:contextualSpacing/>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（m</w:t>
            </w:r>
            <w:r>
              <w:rPr>
                <w:rFonts w:hint="default" w:ascii="Times New Roman" w:hAnsi="Times New Roman" w:eastAsia="宋体" w:cs="Times New Roman"/>
                <w:color w:val="auto"/>
                <w:sz w:val="18"/>
                <w:szCs w:val="18"/>
                <w:vertAlign w:val="superscript"/>
              </w:rPr>
              <w:t>2</w:t>
            </w:r>
            <w:r>
              <w:rPr>
                <w:rFonts w:hint="default" w:ascii="Times New Roman" w:hAnsi="Times New Roman" w:eastAsia="宋体" w:cs="Times New Roman"/>
                <w:color w:val="auto"/>
                <w:sz w:val="18"/>
                <w:szCs w:val="18"/>
              </w:rPr>
              <w:t>）</w:t>
            </w:r>
          </w:p>
        </w:tc>
        <w:tc>
          <w:tcPr>
            <w:tcW w:w="1160" w:type="dxa"/>
            <w:vMerge w:val="restart"/>
            <w:noWrap w:val="0"/>
            <w:vAlign w:val="center"/>
          </w:tcPr>
          <w:p>
            <w:pPr>
              <w:spacing w:after="0" w:line="240" w:lineRule="auto"/>
              <w:contextualSpacing/>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土地权属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blHeader/>
        </w:trPr>
        <w:tc>
          <w:tcPr>
            <w:tcW w:w="1365" w:type="dxa"/>
            <w:vMerge w:val="continue"/>
            <w:noWrap w:val="0"/>
            <w:vAlign w:val="center"/>
          </w:tcPr>
          <w:p>
            <w:pPr>
              <w:spacing w:after="0" w:line="240" w:lineRule="auto"/>
              <w:contextualSpacing/>
              <w:jc w:val="center"/>
              <w:rPr>
                <w:rFonts w:hint="default" w:ascii="Times New Roman" w:hAnsi="Times New Roman" w:eastAsia="宋体" w:cs="Times New Roman"/>
                <w:color w:val="auto"/>
                <w:sz w:val="18"/>
                <w:szCs w:val="18"/>
              </w:rPr>
            </w:pPr>
          </w:p>
        </w:tc>
        <w:tc>
          <w:tcPr>
            <w:tcW w:w="753" w:type="dxa"/>
            <w:noWrap w:val="0"/>
            <w:vAlign w:val="center"/>
          </w:tcPr>
          <w:p>
            <w:pPr>
              <w:spacing w:after="0" w:line="240" w:lineRule="auto"/>
              <w:contextualSpacing/>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编号</w:t>
            </w:r>
          </w:p>
        </w:tc>
        <w:tc>
          <w:tcPr>
            <w:tcW w:w="1225" w:type="dxa"/>
            <w:noWrap w:val="0"/>
            <w:vAlign w:val="center"/>
          </w:tcPr>
          <w:p>
            <w:pPr>
              <w:spacing w:after="0" w:line="240" w:lineRule="auto"/>
              <w:contextualSpacing/>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名称</w:t>
            </w:r>
          </w:p>
        </w:tc>
        <w:tc>
          <w:tcPr>
            <w:tcW w:w="762" w:type="dxa"/>
            <w:noWrap w:val="0"/>
            <w:vAlign w:val="center"/>
          </w:tcPr>
          <w:p>
            <w:pPr>
              <w:spacing w:after="0" w:line="240" w:lineRule="auto"/>
              <w:contextualSpacing/>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编号</w:t>
            </w:r>
          </w:p>
        </w:tc>
        <w:tc>
          <w:tcPr>
            <w:tcW w:w="1713" w:type="dxa"/>
            <w:noWrap w:val="0"/>
            <w:vAlign w:val="center"/>
          </w:tcPr>
          <w:p>
            <w:pPr>
              <w:spacing w:after="0" w:line="240" w:lineRule="auto"/>
              <w:contextualSpacing/>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名称</w:t>
            </w:r>
          </w:p>
        </w:tc>
        <w:tc>
          <w:tcPr>
            <w:tcW w:w="1141" w:type="dxa"/>
            <w:vMerge w:val="continue"/>
            <w:noWrap w:val="0"/>
            <w:vAlign w:val="center"/>
          </w:tcPr>
          <w:p>
            <w:pPr>
              <w:spacing w:after="0" w:line="240" w:lineRule="auto"/>
              <w:contextualSpacing/>
              <w:jc w:val="center"/>
              <w:rPr>
                <w:rFonts w:hint="default" w:ascii="Times New Roman" w:hAnsi="Times New Roman" w:eastAsia="宋体" w:cs="Times New Roman"/>
                <w:color w:val="auto"/>
                <w:sz w:val="18"/>
                <w:szCs w:val="18"/>
              </w:rPr>
            </w:pPr>
          </w:p>
        </w:tc>
        <w:tc>
          <w:tcPr>
            <w:tcW w:w="1160" w:type="dxa"/>
            <w:vMerge w:val="continue"/>
            <w:noWrap w:val="0"/>
            <w:vAlign w:val="center"/>
          </w:tcPr>
          <w:p>
            <w:pPr>
              <w:spacing w:after="0" w:line="240" w:lineRule="auto"/>
              <w:contextualSpacing/>
              <w:jc w:val="center"/>
              <w:rPr>
                <w:rFonts w:hint="default"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65" w:type="dxa"/>
            <w:noWrap w:val="0"/>
            <w:vAlign w:val="center"/>
          </w:tcPr>
          <w:p>
            <w:pPr>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露天采场</w:t>
            </w:r>
          </w:p>
        </w:tc>
        <w:tc>
          <w:tcPr>
            <w:tcW w:w="753" w:type="dxa"/>
            <w:noWrap w:val="0"/>
            <w:vAlign w:val="center"/>
          </w:tcPr>
          <w:p>
            <w:pPr>
              <w:spacing w:after="0" w:line="240" w:lineRule="auto"/>
              <w:contextualSpacing/>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03</w:t>
            </w:r>
          </w:p>
        </w:tc>
        <w:tc>
          <w:tcPr>
            <w:tcW w:w="1225" w:type="dxa"/>
            <w:noWrap w:val="0"/>
            <w:vAlign w:val="center"/>
          </w:tcPr>
          <w:p>
            <w:pPr>
              <w:spacing w:after="0" w:line="240" w:lineRule="auto"/>
              <w:contextualSpacing/>
              <w:jc w:val="center"/>
              <w:rPr>
                <w:rFonts w:hint="default" w:ascii="Times New Roman" w:hAnsi="Times New Roman" w:eastAsia="宋体" w:cs="Times New Roman"/>
                <w:color w:val="auto"/>
                <w:sz w:val="18"/>
                <w:szCs w:val="18"/>
                <w:lang w:eastAsia="zh-CN"/>
              </w:rPr>
            </w:pPr>
            <w:r>
              <w:rPr>
                <w:rFonts w:hint="default" w:ascii="Times New Roman" w:hAnsi="Times New Roman" w:eastAsia="宋体" w:cs="Times New Roman"/>
                <w:color w:val="auto"/>
                <w:sz w:val="18"/>
                <w:szCs w:val="18"/>
                <w:lang w:eastAsia="zh-CN"/>
              </w:rPr>
              <w:t>林地</w:t>
            </w:r>
          </w:p>
        </w:tc>
        <w:tc>
          <w:tcPr>
            <w:tcW w:w="762" w:type="dxa"/>
            <w:noWrap w:val="0"/>
            <w:vAlign w:val="center"/>
          </w:tcPr>
          <w:p>
            <w:pPr>
              <w:spacing w:after="0" w:line="240" w:lineRule="auto"/>
              <w:contextualSpacing/>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031</w:t>
            </w:r>
          </w:p>
        </w:tc>
        <w:tc>
          <w:tcPr>
            <w:tcW w:w="1713" w:type="dxa"/>
            <w:noWrap w:val="0"/>
            <w:vAlign w:val="center"/>
          </w:tcPr>
          <w:p>
            <w:pPr>
              <w:spacing w:after="0" w:line="240" w:lineRule="auto"/>
              <w:contextualSpacing/>
              <w:jc w:val="center"/>
              <w:rPr>
                <w:rFonts w:hint="default" w:ascii="Times New Roman" w:hAnsi="Times New Roman" w:eastAsia="宋体" w:cs="Times New Roman"/>
                <w:color w:val="auto"/>
                <w:sz w:val="18"/>
                <w:szCs w:val="18"/>
                <w:lang w:eastAsia="zh-CN"/>
              </w:rPr>
            </w:pPr>
            <w:r>
              <w:rPr>
                <w:rFonts w:hint="default" w:ascii="Times New Roman" w:hAnsi="Times New Roman" w:eastAsia="宋体" w:cs="Times New Roman"/>
                <w:color w:val="auto"/>
                <w:sz w:val="18"/>
                <w:szCs w:val="18"/>
                <w:lang w:eastAsia="zh-CN"/>
              </w:rPr>
              <w:t>有林地</w:t>
            </w:r>
          </w:p>
        </w:tc>
        <w:tc>
          <w:tcPr>
            <w:tcW w:w="1141" w:type="dxa"/>
            <w:noWrap w:val="0"/>
            <w:vAlign w:val="center"/>
          </w:tcPr>
          <w:p>
            <w:pPr>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14904</w:t>
            </w:r>
          </w:p>
        </w:tc>
        <w:tc>
          <w:tcPr>
            <w:tcW w:w="1160" w:type="dxa"/>
            <w:vMerge w:val="restart"/>
            <w:noWrap w:val="0"/>
            <w:vAlign w:val="center"/>
          </w:tcPr>
          <w:p>
            <w:pPr>
              <w:spacing w:after="0" w:line="240" w:lineRule="auto"/>
              <w:contextualSpacing/>
              <w:jc w:val="center"/>
              <w:rPr>
                <w:rFonts w:hint="default" w:ascii="Times New Roman" w:hAnsi="Times New Roman" w:eastAsia="宋体" w:cs="Times New Roman"/>
                <w:color w:val="auto"/>
                <w:sz w:val="18"/>
                <w:szCs w:val="18"/>
                <w:lang w:eastAsia="zh-CN"/>
              </w:rPr>
            </w:pPr>
            <w:r>
              <w:rPr>
                <w:rFonts w:hint="default" w:ascii="Times New Roman" w:hAnsi="Times New Roman" w:eastAsia="宋体" w:cs="Times New Roman"/>
                <w:color w:val="auto"/>
                <w:sz w:val="18"/>
                <w:szCs w:val="18"/>
              </w:rPr>
              <w:t>大金沟村集体所有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65" w:type="dxa"/>
            <w:noWrap w:val="0"/>
            <w:vAlign w:val="center"/>
          </w:tcPr>
          <w:p>
            <w:pPr>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eastAsia="zh-CN"/>
              </w:rPr>
              <w:t>办公生活区</w:t>
            </w:r>
          </w:p>
        </w:tc>
        <w:tc>
          <w:tcPr>
            <w:tcW w:w="753" w:type="dxa"/>
            <w:noWrap w:val="0"/>
            <w:vAlign w:val="center"/>
          </w:tcPr>
          <w:p>
            <w:pPr>
              <w:spacing w:after="0" w:line="240" w:lineRule="auto"/>
              <w:contextualSpacing/>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03</w:t>
            </w:r>
          </w:p>
        </w:tc>
        <w:tc>
          <w:tcPr>
            <w:tcW w:w="1225" w:type="dxa"/>
            <w:noWrap w:val="0"/>
            <w:vAlign w:val="center"/>
          </w:tcPr>
          <w:p>
            <w:pPr>
              <w:spacing w:after="0" w:line="240" w:lineRule="auto"/>
              <w:contextualSpacing/>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lang w:eastAsia="zh-CN"/>
              </w:rPr>
              <w:t>林地</w:t>
            </w:r>
          </w:p>
        </w:tc>
        <w:tc>
          <w:tcPr>
            <w:tcW w:w="762" w:type="dxa"/>
            <w:noWrap w:val="0"/>
            <w:vAlign w:val="center"/>
          </w:tcPr>
          <w:p>
            <w:pPr>
              <w:spacing w:after="0" w:line="240" w:lineRule="auto"/>
              <w:contextualSpacing/>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031</w:t>
            </w:r>
          </w:p>
        </w:tc>
        <w:tc>
          <w:tcPr>
            <w:tcW w:w="1713" w:type="dxa"/>
            <w:noWrap w:val="0"/>
            <w:vAlign w:val="center"/>
          </w:tcPr>
          <w:p>
            <w:pPr>
              <w:spacing w:after="0" w:line="240" w:lineRule="auto"/>
              <w:contextualSpacing/>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lang w:eastAsia="zh-CN"/>
              </w:rPr>
              <w:t>有林地</w:t>
            </w:r>
          </w:p>
        </w:tc>
        <w:tc>
          <w:tcPr>
            <w:tcW w:w="1141" w:type="dxa"/>
            <w:noWrap w:val="0"/>
            <w:vAlign w:val="center"/>
          </w:tcPr>
          <w:p>
            <w:pPr>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68</w:t>
            </w:r>
          </w:p>
        </w:tc>
        <w:tc>
          <w:tcPr>
            <w:tcW w:w="1160" w:type="dxa"/>
            <w:vMerge w:val="continue"/>
            <w:noWrap w:val="0"/>
            <w:vAlign w:val="center"/>
          </w:tcPr>
          <w:p>
            <w:pPr>
              <w:spacing w:after="0" w:line="240" w:lineRule="auto"/>
              <w:contextualSpacing/>
              <w:jc w:val="center"/>
              <w:rPr>
                <w:rFonts w:hint="default"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65" w:type="dxa"/>
            <w:noWrap w:val="0"/>
            <w:vAlign w:val="center"/>
          </w:tcPr>
          <w:p>
            <w:pPr>
              <w:jc w:val="center"/>
              <w:rPr>
                <w:rFonts w:hint="default" w:ascii="Times New Roman" w:hAnsi="Times New Roman" w:eastAsia="宋体" w:cs="Times New Roman"/>
                <w:color w:val="auto"/>
                <w:sz w:val="18"/>
                <w:szCs w:val="18"/>
                <w:lang w:eastAsia="zh-CN"/>
              </w:rPr>
            </w:pPr>
            <w:r>
              <w:rPr>
                <w:rFonts w:hint="default" w:ascii="Times New Roman" w:hAnsi="Times New Roman" w:eastAsia="宋体" w:cs="Times New Roman"/>
                <w:color w:val="auto"/>
                <w:sz w:val="18"/>
                <w:szCs w:val="18"/>
                <w:lang w:eastAsia="zh-CN"/>
              </w:rPr>
              <w:t>料堆</w:t>
            </w:r>
          </w:p>
        </w:tc>
        <w:tc>
          <w:tcPr>
            <w:tcW w:w="753" w:type="dxa"/>
            <w:noWrap w:val="0"/>
            <w:vAlign w:val="center"/>
          </w:tcPr>
          <w:p>
            <w:pPr>
              <w:spacing w:after="0" w:line="240" w:lineRule="auto"/>
              <w:contextualSpacing/>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03</w:t>
            </w:r>
          </w:p>
        </w:tc>
        <w:tc>
          <w:tcPr>
            <w:tcW w:w="1225" w:type="dxa"/>
            <w:noWrap w:val="0"/>
            <w:vAlign w:val="center"/>
          </w:tcPr>
          <w:p>
            <w:pPr>
              <w:spacing w:after="0" w:line="240" w:lineRule="auto"/>
              <w:contextualSpacing/>
              <w:jc w:val="center"/>
              <w:rPr>
                <w:rFonts w:hint="default" w:ascii="Times New Roman" w:hAnsi="Times New Roman" w:eastAsia="宋体" w:cs="Times New Roman"/>
                <w:color w:val="auto"/>
                <w:sz w:val="18"/>
                <w:szCs w:val="18"/>
                <w:lang w:eastAsia="zh-CN"/>
              </w:rPr>
            </w:pPr>
            <w:r>
              <w:rPr>
                <w:rFonts w:hint="default" w:ascii="Times New Roman" w:hAnsi="Times New Roman" w:eastAsia="宋体" w:cs="Times New Roman"/>
                <w:color w:val="auto"/>
                <w:sz w:val="18"/>
                <w:szCs w:val="18"/>
                <w:lang w:eastAsia="zh-CN"/>
              </w:rPr>
              <w:t>林地</w:t>
            </w:r>
          </w:p>
        </w:tc>
        <w:tc>
          <w:tcPr>
            <w:tcW w:w="762" w:type="dxa"/>
            <w:noWrap w:val="0"/>
            <w:vAlign w:val="center"/>
          </w:tcPr>
          <w:p>
            <w:pPr>
              <w:spacing w:after="0" w:line="240" w:lineRule="auto"/>
              <w:contextualSpacing/>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031</w:t>
            </w:r>
          </w:p>
        </w:tc>
        <w:tc>
          <w:tcPr>
            <w:tcW w:w="1713" w:type="dxa"/>
            <w:noWrap w:val="0"/>
            <w:vAlign w:val="center"/>
          </w:tcPr>
          <w:p>
            <w:pPr>
              <w:spacing w:after="0" w:line="240" w:lineRule="auto"/>
              <w:contextualSpacing/>
              <w:jc w:val="center"/>
              <w:rPr>
                <w:rFonts w:hint="default" w:ascii="Times New Roman" w:hAnsi="Times New Roman" w:eastAsia="宋体" w:cs="Times New Roman"/>
                <w:color w:val="auto"/>
                <w:sz w:val="18"/>
                <w:szCs w:val="18"/>
                <w:lang w:eastAsia="zh-CN"/>
              </w:rPr>
            </w:pPr>
            <w:r>
              <w:rPr>
                <w:rFonts w:hint="default" w:ascii="Times New Roman" w:hAnsi="Times New Roman" w:eastAsia="宋体" w:cs="Times New Roman"/>
                <w:color w:val="auto"/>
                <w:sz w:val="18"/>
                <w:szCs w:val="18"/>
                <w:lang w:eastAsia="zh-CN"/>
              </w:rPr>
              <w:t>有林地</w:t>
            </w:r>
          </w:p>
        </w:tc>
        <w:tc>
          <w:tcPr>
            <w:tcW w:w="1141" w:type="dxa"/>
            <w:noWrap w:val="0"/>
            <w:vAlign w:val="center"/>
          </w:tcPr>
          <w:p>
            <w:pPr>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11355</w:t>
            </w:r>
          </w:p>
        </w:tc>
        <w:tc>
          <w:tcPr>
            <w:tcW w:w="1160" w:type="dxa"/>
            <w:vMerge w:val="continue"/>
            <w:noWrap w:val="0"/>
            <w:vAlign w:val="center"/>
          </w:tcPr>
          <w:p>
            <w:pPr>
              <w:spacing w:after="0" w:line="240" w:lineRule="auto"/>
              <w:contextualSpacing/>
              <w:jc w:val="center"/>
              <w:rPr>
                <w:rFonts w:hint="default"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65" w:type="dxa"/>
            <w:noWrap w:val="0"/>
            <w:vAlign w:val="center"/>
          </w:tcPr>
          <w:p>
            <w:pPr>
              <w:jc w:val="center"/>
              <w:rPr>
                <w:rFonts w:hint="default" w:ascii="Times New Roman" w:hAnsi="Times New Roman" w:eastAsia="宋体" w:cs="Times New Roman"/>
                <w:color w:val="auto"/>
                <w:sz w:val="18"/>
                <w:szCs w:val="18"/>
                <w:lang w:eastAsia="zh-CN"/>
              </w:rPr>
            </w:pPr>
            <w:r>
              <w:rPr>
                <w:rFonts w:hint="default" w:ascii="Times New Roman" w:hAnsi="Times New Roman" w:eastAsia="宋体" w:cs="Times New Roman"/>
                <w:bCs/>
                <w:color w:val="auto"/>
                <w:sz w:val="18"/>
                <w:szCs w:val="18"/>
                <w:lang w:eastAsia="zh-CN"/>
              </w:rPr>
              <w:t>矿区道路</w:t>
            </w:r>
          </w:p>
        </w:tc>
        <w:tc>
          <w:tcPr>
            <w:tcW w:w="753" w:type="dxa"/>
            <w:noWrap w:val="0"/>
            <w:vAlign w:val="center"/>
          </w:tcPr>
          <w:p>
            <w:pPr>
              <w:spacing w:after="0" w:line="240" w:lineRule="auto"/>
              <w:contextualSpacing/>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03</w:t>
            </w:r>
          </w:p>
        </w:tc>
        <w:tc>
          <w:tcPr>
            <w:tcW w:w="1225" w:type="dxa"/>
            <w:noWrap w:val="0"/>
            <w:vAlign w:val="center"/>
          </w:tcPr>
          <w:p>
            <w:pPr>
              <w:spacing w:after="0" w:line="240" w:lineRule="auto"/>
              <w:contextualSpacing/>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lang w:eastAsia="zh-CN"/>
              </w:rPr>
              <w:t>林地</w:t>
            </w:r>
          </w:p>
        </w:tc>
        <w:tc>
          <w:tcPr>
            <w:tcW w:w="762" w:type="dxa"/>
            <w:noWrap w:val="0"/>
            <w:vAlign w:val="center"/>
          </w:tcPr>
          <w:p>
            <w:pPr>
              <w:spacing w:after="0" w:line="240" w:lineRule="auto"/>
              <w:contextualSpacing/>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031</w:t>
            </w:r>
          </w:p>
        </w:tc>
        <w:tc>
          <w:tcPr>
            <w:tcW w:w="1713" w:type="dxa"/>
            <w:noWrap w:val="0"/>
            <w:vAlign w:val="center"/>
          </w:tcPr>
          <w:p>
            <w:pPr>
              <w:spacing w:after="0" w:line="240" w:lineRule="auto"/>
              <w:contextualSpacing/>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lang w:eastAsia="zh-CN"/>
              </w:rPr>
              <w:t>有林地</w:t>
            </w:r>
          </w:p>
        </w:tc>
        <w:tc>
          <w:tcPr>
            <w:tcW w:w="1141" w:type="dxa"/>
            <w:noWrap w:val="0"/>
            <w:vAlign w:val="center"/>
          </w:tcPr>
          <w:p>
            <w:pPr>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2340</w:t>
            </w:r>
          </w:p>
        </w:tc>
        <w:tc>
          <w:tcPr>
            <w:tcW w:w="1160" w:type="dxa"/>
            <w:vMerge w:val="continue"/>
            <w:noWrap w:val="0"/>
            <w:vAlign w:val="center"/>
          </w:tcPr>
          <w:p>
            <w:pPr>
              <w:spacing w:after="0" w:line="240" w:lineRule="auto"/>
              <w:contextualSpacing/>
              <w:jc w:val="center"/>
              <w:rPr>
                <w:rFonts w:hint="default"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818" w:type="dxa"/>
            <w:gridSpan w:val="5"/>
            <w:noWrap w:val="0"/>
            <w:vAlign w:val="center"/>
          </w:tcPr>
          <w:p>
            <w:pPr>
              <w:spacing w:after="0" w:line="240" w:lineRule="auto"/>
              <w:contextualSpacing/>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合计</w:t>
            </w:r>
          </w:p>
        </w:tc>
        <w:tc>
          <w:tcPr>
            <w:tcW w:w="1141" w:type="dxa"/>
            <w:noWrap w:val="0"/>
            <w:vAlign w:val="center"/>
          </w:tcPr>
          <w:p>
            <w:pPr>
              <w:keepNext w:val="0"/>
              <w:keepLines w:val="0"/>
              <w:widowControl/>
              <w:suppressLineNumbers w:val="0"/>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i w:val="0"/>
                <w:color w:val="auto"/>
                <w:kern w:val="0"/>
                <w:sz w:val="18"/>
                <w:szCs w:val="18"/>
                <w:u w:val="none"/>
                <w:lang w:val="en-US" w:eastAsia="zh-CN" w:bidi="ar"/>
              </w:rPr>
              <w:t>28667</w:t>
            </w:r>
          </w:p>
        </w:tc>
        <w:tc>
          <w:tcPr>
            <w:tcW w:w="1160" w:type="dxa"/>
            <w:vMerge w:val="continue"/>
            <w:noWrap w:val="0"/>
            <w:vAlign w:val="center"/>
          </w:tcPr>
          <w:p>
            <w:pPr>
              <w:spacing w:after="0" w:line="240" w:lineRule="auto"/>
              <w:contextualSpacing/>
              <w:jc w:val="center"/>
              <w:rPr>
                <w:rFonts w:hint="default" w:ascii="Times New Roman" w:hAnsi="Times New Roman" w:eastAsia="宋体" w:cs="Times New Roman"/>
                <w:color w:val="auto"/>
                <w:sz w:val="18"/>
                <w:szCs w:val="18"/>
              </w:rPr>
            </w:pPr>
          </w:p>
        </w:tc>
      </w:tr>
    </w:tbl>
    <w:p>
      <w:pPr>
        <w:jc w:val="both"/>
        <w:rPr>
          <w:rFonts w:hint="default" w:ascii="Times New Roman" w:hAnsi="Times New Roman" w:eastAsia="宋体" w:cs="Times New Roman"/>
          <w:color w:val="auto"/>
        </w:rPr>
      </w:pPr>
    </w:p>
    <w:p>
      <w:pPr>
        <w:numPr>
          <w:ilvl w:val="0"/>
          <w:numId w:val="0"/>
        </w:numPr>
        <w:spacing w:line="360" w:lineRule="auto"/>
        <w:ind w:leftChars="0"/>
        <w:jc w:val="both"/>
        <w:outlineLvl w:val="1"/>
        <w:rPr>
          <w:rFonts w:hint="default" w:ascii="Times New Roman" w:hAnsi="Times New Roman" w:eastAsia="宋体" w:cs="Times New Roman"/>
          <w:b/>
          <w:bCs/>
          <w:color w:val="auto"/>
          <w:sz w:val="32"/>
          <w:szCs w:val="32"/>
          <w:lang w:val="en-US" w:eastAsia="zh-CN"/>
        </w:rPr>
      </w:pPr>
      <w:bookmarkStart w:id="42" w:name="_Toc23751"/>
      <w:bookmarkStart w:id="43" w:name="_Toc4463"/>
      <w:bookmarkStart w:id="44" w:name="_Toc28798"/>
      <w:bookmarkStart w:id="45" w:name="_Toc11937"/>
      <w:r>
        <w:rPr>
          <w:rFonts w:hint="eastAsia" w:eastAsia="宋体" w:cs="Times New Roman"/>
          <w:b/>
          <w:bCs/>
          <w:color w:val="auto"/>
          <w:sz w:val="28"/>
          <w:szCs w:val="28"/>
          <w:lang w:val="en-US" w:eastAsia="zh-CN"/>
        </w:rPr>
        <w:t>二、</w:t>
      </w:r>
      <w:r>
        <w:rPr>
          <w:rFonts w:hint="default" w:ascii="Times New Roman" w:hAnsi="Times New Roman" w:eastAsia="宋体" w:cs="Times New Roman"/>
          <w:b/>
          <w:bCs/>
          <w:color w:val="auto"/>
          <w:sz w:val="28"/>
          <w:szCs w:val="28"/>
          <w:lang w:val="en-US" w:eastAsia="zh-CN"/>
        </w:rPr>
        <w:t>矿山地质环境问题预测</w:t>
      </w:r>
      <w:bookmarkEnd w:id="42"/>
      <w:bookmarkEnd w:id="43"/>
      <w:bookmarkEnd w:id="44"/>
      <w:bookmarkEnd w:id="45"/>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lang w:eastAsia="zh-CN"/>
        </w:rPr>
      </w:pPr>
      <w:bookmarkStart w:id="46" w:name="_Toc11419"/>
      <w:r>
        <w:rPr>
          <w:rFonts w:hint="default" w:ascii="Times New Roman" w:hAnsi="Times New Roman" w:eastAsia="宋体" w:cs="Times New Roman"/>
          <w:b w:val="0"/>
          <w:bCs w:val="0"/>
          <w:color w:val="auto"/>
          <w:sz w:val="24"/>
          <w:szCs w:val="24"/>
          <w:lang w:val="en-US" w:eastAsia="zh-CN"/>
        </w:rPr>
        <w:t>根据矿山开采计划，本年度矿山拟继续办理采矿许可证</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无开采与基建计划。</w:t>
      </w:r>
      <w:r>
        <w:rPr>
          <w:rFonts w:hint="default" w:ascii="Times New Roman" w:hAnsi="Times New Roman" w:eastAsia="宋体" w:cs="Times New Roman"/>
          <w:color w:val="auto"/>
          <w:sz w:val="24"/>
          <w:szCs w:val="24"/>
          <w:lang w:eastAsia="zh-CN"/>
        </w:rPr>
        <w:t>预测</w:t>
      </w:r>
      <w:r>
        <w:rPr>
          <w:rFonts w:hint="default" w:ascii="Times New Roman" w:hAnsi="Times New Roman" w:eastAsia="宋体" w:cs="Times New Roman"/>
          <w:color w:val="auto"/>
          <w:sz w:val="24"/>
          <w:szCs w:val="24"/>
          <w:lang w:val="en-US" w:eastAsia="zh-CN"/>
        </w:rPr>
        <w:t>2024</w:t>
      </w:r>
      <w:r>
        <w:rPr>
          <w:rFonts w:hint="default" w:ascii="Times New Roman" w:hAnsi="Times New Roman" w:eastAsia="宋体" w:cs="Times New Roman"/>
          <w:color w:val="auto"/>
          <w:sz w:val="24"/>
          <w:szCs w:val="24"/>
          <w:lang w:eastAsia="zh-CN"/>
        </w:rPr>
        <w:t>年度矿山地质环境问题基本与现状</w:t>
      </w:r>
      <w:r>
        <w:rPr>
          <w:rFonts w:hint="default" w:ascii="Times New Roman" w:hAnsi="Times New Roman" w:eastAsia="宋体" w:cs="Times New Roman"/>
          <w:color w:val="auto"/>
          <w:sz w:val="24"/>
          <w:szCs w:val="24"/>
          <w:lang w:val="en-US" w:eastAsia="zh-CN"/>
        </w:rPr>
        <w:t>保持</w:t>
      </w:r>
      <w:r>
        <w:rPr>
          <w:rFonts w:hint="default" w:ascii="Times New Roman" w:hAnsi="Times New Roman" w:eastAsia="宋体" w:cs="Times New Roman"/>
          <w:color w:val="auto"/>
          <w:sz w:val="24"/>
          <w:szCs w:val="24"/>
          <w:lang w:eastAsia="zh-CN"/>
        </w:rPr>
        <w:t>一致（</w:t>
      </w:r>
      <w:r>
        <w:rPr>
          <w:rFonts w:hint="default" w:ascii="Times New Roman" w:hAnsi="Times New Roman" w:eastAsia="宋体" w:cs="Times New Roman"/>
          <w:color w:val="auto"/>
          <w:sz w:val="24"/>
          <w:szCs w:val="24"/>
          <w:lang w:val="en-US" w:eastAsia="zh-CN"/>
        </w:rPr>
        <w:t>见表4-</w:t>
      </w:r>
      <w:r>
        <w:rPr>
          <w:rFonts w:hint="eastAsia"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lang w:eastAsia="zh-CN"/>
        </w:rPr>
        <w:t>）。</w:t>
      </w:r>
    </w:p>
    <w:p>
      <w:pPr>
        <w:pStyle w:val="2"/>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default" w:ascii="Times New Roman" w:hAnsi="Times New Roman" w:eastAsia="宋体" w:cs="Times New Roman"/>
          <w:color w:val="auto"/>
          <w:sz w:val="18"/>
          <w:szCs w:val="18"/>
          <w:lang w:eastAsia="zh-CN"/>
        </w:rPr>
      </w:pPr>
      <w:r>
        <w:rPr>
          <w:rStyle w:val="62"/>
          <w:rFonts w:hint="eastAsia" w:ascii="黑体" w:hAnsi="黑体" w:eastAsia="黑体" w:cs="黑体"/>
          <w:b w:val="0"/>
          <w:bCs w:val="0"/>
          <w:color w:val="auto"/>
          <w:kern w:val="0"/>
          <w:sz w:val="24"/>
          <w:szCs w:val="24"/>
          <w:lang w:val="en-US" w:eastAsia="zh-CN" w:bidi="ar-SA"/>
        </w:rPr>
        <w:t>表4-3  矿山地质环境问题预测说明表</w:t>
      </w:r>
    </w:p>
    <w:tbl>
      <w:tblPr>
        <w:tblStyle w:val="9"/>
        <w:tblW w:w="8119" w:type="dxa"/>
        <w:jc w:val="center"/>
        <w:shd w:val="clear" w:color="auto" w:fill="auto"/>
        <w:tblLayout w:type="autofit"/>
        <w:tblCellMar>
          <w:top w:w="0" w:type="dxa"/>
          <w:left w:w="0" w:type="dxa"/>
          <w:bottom w:w="0" w:type="dxa"/>
          <w:right w:w="0" w:type="dxa"/>
        </w:tblCellMar>
      </w:tblPr>
      <w:tblGrid>
        <w:gridCol w:w="943"/>
        <w:gridCol w:w="767"/>
        <w:gridCol w:w="918"/>
        <w:gridCol w:w="866"/>
        <w:gridCol w:w="3507"/>
        <w:gridCol w:w="1118"/>
      </w:tblGrid>
      <w:tr>
        <w:tblPrEx>
          <w:tblCellMar>
            <w:top w:w="0" w:type="dxa"/>
            <w:left w:w="0" w:type="dxa"/>
            <w:bottom w:w="0" w:type="dxa"/>
            <w:right w:w="0" w:type="dxa"/>
          </w:tblCellMar>
        </w:tblPrEx>
        <w:trPr>
          <w:trHeight w:val="283" w:hRule="atLeast"/>
          <w:jc w:val="center"/>
        </w:trPr>
        <w:tc>
          <w:tcPr>
            <w:tcW w:w="94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名称</w:t>
            </w:r>
          </w:p>
        </w:tc>
        <w:tc>
          <w:tcPr>
            <w:tcW w:w="7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面积（㎡）</w:t>
            </w:r>
          </w:p>
        </w:tc>
        <w:tc>
          <w:tcPr>
            <w:tcW w:w="640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矿山地质环境问题</w:t>
            </w:r>
          </w:p>
        </w:tc>
      </w:tr>
      <w:tr>
        <w:tblPrEx>
          <w:tblCellMar>
            <w:top w:w="0" w:type="dxa"/>
            <w:left w:w="0" w:type="dxa"/>
            <w:bottom w:w="0" w:type="dxa"/>
            <w:right w:w="0" w:type="dxa"/>
          </w:tblCellMar>
        </w:tblPrEx>
        <w:trPr>
          <w:trHeight w:val="283" w:hRule="atLeast"/>
          <w:jc w:val="center"/>
        </w:trPr>
        <w:tc>
          <w:tcPr>
            <w:tcW w:w="94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auto"/>
                <w:sz w:val="18"/>
                <w:szCs w:val="18"/>
                <w:u w:val="none"/>
              </w:rPr>
            </w:pP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auto"/>
                <w:sz w:val="18"/>
                <w:szCs w:val="18"/>
                <w:u w:val="none"/>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地质灾害</w:t>
            </w:r>
          </w:p>
        </w:tc>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含水层</w:t>
            </w:r>
          </w:p>
        </w:tc>
        <w:tc>
          <w:tcPr>
            <w:tcW w:w="35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地形地貌景观</w:t>
            </w:r>
          </w:p>
        </w:tc>
        <w:tc>
          <w:tcPr>
            <w:tcW w:w="1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土地资源</w:t>
            </w:r>
          </w:p>
        </w:tc>
      </w:tr>
      <w:tr>
        <w:tblPrEx>
          <w:tblCellMar>
            <w:top w:w="0" w:type="dxa"/>
            <w:left w:w="0" w:type="dxa"/>
            <w:bottom w:w="0" w:type="dxa"/>
            <w:right w:w="0" w:type="dxa"/>
          </w:tblCellMar>
        </w:tblPrEx>
        <w:trPr>
          <w:trHeight w:val="283" w:hRule="atLeast"/>
          <w:jc w:val="center"/>
        </w:trPr>
        <w:tc>
          <w:tcPr>
            <w:tcW w:w="9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color w:val="auto"/>
                <w:sz w:val="18"/>
                <w:szCs w:val="18"/>
              </w:rPr>
              <w:t>露天采场</w:t>
            </w:r>
          </w:p>
        </w:tc>
        <w:tc>
          <w:tcPr>
            <w:tcW w:w="7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auto"/>
                <w:sz w:val="18"/>
                <w:szCs w:val="18"/>
                <w:u w:val="none"/>
                <w:lang w:val="en-US" w:eastAsia="zh-CN"/>
              </w:rPr>
            </w:pPr>
            <w:r>
              <w:rPr>
                <w:rFonts w:hint="default" w:ascii="Times New Roman" w:hAnsi="Times New Roman" w:eastAsia="宋体" w:cs="Times New Roman"/>
                <w:color w:val="auto"/>
                <w:sz w:val="18"/>
                <w:szCs w:val="18"/>
                <w:lang w:val="en-US" w:eastAsia="zh-CN"/>
              </w:rPr>
              <w:t>14904</w:t>
            </w:r>
          </w:p>
        </w:tc>
        <w:tc>
          <w:tcPr>
            <w:tcW w:w="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崩塌</w:t>
            </w:r>
          </w:p>
        </w:tc>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较轻</w:t>
            </w:r>
          </w:p>
        </w:tc>
        <w:tc>
          <w:tcPr>
            <w:tcW w:w="35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color w:val="auto"/>
                <w:sz w:val="18"/>
                <w:szCs w:val="18"/>
                <w:highlight w:val="none"/>
                <w:lang w:eastAsia="zh-CN"/>
              </w:rPr>
              <w:t>露天采场位于整个矿区范围内，近似长条形，</w:t>
            </w:r>
            <w:r>
              <w:rPr>
                <w:rFonts w:hint="default" w:ascii="Times New Roman" w:hAnsi="Times New Roman" w:eastAsia="宋体" w:cs="Times New Roman"/>
                <w:color w:val="auto"/>
                <w:sz w:val="18"/>
                <w:szCs w:val="18"/>
                <w:lang w:eastAsia="zh-CN"/>
              </w:rPr>
              <w:t>面积</w:t>
            </w:r>
            <w:r>
              <w:rPr>
                <w:rFonts w:hint="default" w:ascii="Times New Roman" w:hAnsi="Times New Roman" w:eastAsia="宋体" w:cs="Times New Roman"/>
                <w:color w:val="auto"/>
                <w:sz w:val="18"/>
                <w:szCs w:val="18"/>
                <w:lang w:val="en-US" w:eastAsia="zh-CN"/>
              </w:rPr>
              <w:t>14904m</w:t>
            </w:r>
            <w:r>
              <w:rPr>
                <w:rFonts w:hint="default" w:ascii="Times New Roman" w:hAnsi="Times New Roman" w:eastAsia="宋体" w:cs="Times New Roman"/>
                <w:color w:val="auto"/>
                <w:sz w:val="18"/>
                <w:szCs w:val="18"/>
                <w:vertAlign w:val="superscript"/>
                <w:lang w:val="en-US" w:eastAsia="zh-CN"/>
              </w:rPr>
              <w:t>2</w:t>
            </w:r>
            <w:r>
              <w:rPr>
                <w:rFonts w:hint="default" w:ascii="Times New Roman" w:hAnsi="Times New Roman" w:eastAsia="宋体" w:cs="Times New Roman"/>
                <w:color w:val="auto"/>
                <w:sz w:val="18"/>
                <w:szCs w:val="18"/>
                <w:vertAlign w:val="baseline"/>
                <w:lang w:val="en-US" w:eastAsia="zh-CN"/>
              </w:rPr>
              <w:t>，</w:t>
            </w:r>
            <w:r>
              <w:rPr>
                <w:rFonts w:hint="default" w:ascii="Times New Roman" w:hAnsi="Times New Roman" w:eastAsia="宋体" w:cs="Times New Roman"/>
                <w:color w:val="auto"/>
                <w:sz w:val="18"/>
                <w:szCs w:val="18"/>
                <w:lang w:eastAsia="zh-CN"/>
              </w:rPr>
              <w:t>长</w:t>
            </w:r>
            <w:r>
              <w:rPr>
                <w:rFonts w:hint="default" w:ascii="Times New Roman" w:hAnsi="Times New Roman" w:eastAsia="宋体" w:cs="Times New Roman"/>
                <w:color w:val="auto"/>
                <w:sz w:val="18"/>
                <w:szCs w:val="18"/>
              </w:rPr>
              <w:t>约</w:t>
            </w:r>
            <w:r>
              <w:rPr>
                <w:rFonts w:hint="default" w:ascii="Times New Roman" w:hAnsi="Times New Roman" w:eastAsia="宋体" w:cs="Times New Roman"/>
                <w:color w:val="auto"/>
                <w:sz w:val="18"/>
                <w:szCs w:val="18"/>
                <w:lang w:val="en-US" w:eastAsia="zh-CN"/>
              </w:rPr>
              <w:t>194</w:t>
            </w:r>
            <w:r>
              <w:rPr>
                <w:rFonts w:hint="default" w:ascii="Times New Roman" w:hAnsi="Times New Roman" w:eastAsia="宋体" w:cs="Times New Roman"/>
                <w:color w:val="auto"/>
                <w:sz w:val="18"/>
                <w:szCs w:val="18"/>
              </w:rPr>
              <w:t>m，宽约</w:t>
            </w:r>
            <w:r>
              <w:rPr>
                <w:rFonts w:hint="default" w:ascii="Times New Roman" w:hAnsi="Times New Roman" w:eastAsia="宋体" w:cs="Times New Roman"/>
                <w:color w:val="auto"/>
                <w:sz w:val="18"/>
                <w:szCs w:val="18"/>
                <w:lang w:val="en-US" w:eastAsia="zh-CN"/>
              </w:rPr>
              <w:t>84</w:t>
            </w:r>
            <w:r>
              <w:rPr>
                <w:rFonts w:hint="default" w:ascii="Times New Roman" w:hAnsi="Times New Roman" w:eastAsia="宋体" w:cs="Times New Roman"/>
                <w:color w:val="auto"/>
                <w:sz w:val="18"/>
                <w:szCs w:val="18"/>
              </w:rPr>
              <w:t>m，</w:t>
            </w:r>
            <w:r>
              <w:rPr>
                <w:rFonts w:hint="default" w:ascii="Times New Roman" w:hAnsi="Times New Roman" w:eastAsia="宋体" w:cs="Times New Roman"/>
                <w:color w:val="auto"/>
                <w:sz w:val="18"/>
                <w:szCs w:val="18"/>
                <w:highlight w:val="none"/>
                <w:lang w:eastAsia="zh-CN"/>
              </w:rPr>
              <w:t>采深</w:t>
            </w:r>
            <w:r>
              <w:rPr>
                <w:rFonts w:hint="default" w:ascii="Times New Roman" w:hAnsi="Times New Roman" w:eastAsia="宋体" w:cs="Times New Roman"/>
                <w:color w:val="auto"/>
                <w:sz w:val="18"/>
                <w:szCs w:val="18"/>
                <w:highlight w:val="none"/>
                <w:lang w:val="en-US" w:eastAsia="zh-CN"/>
              </w:rPr>
              <w:t>1-49m，采场底标高850m，现状露天采场形成一层台阶，开采较不规范，露天采场边坡坡度50~75°，局部近似直立。露天采场四周边坡均存在越界行为。</w:t>
            </w:r>
          </w:p>
        </w:tc>
        <w:tc>
          <w:tcPr>
            <w:tcW w:w="1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损毁有林地</w:t>
            </w:r>
          </w:p>
        </w:tc>
      </w:tr>
      <w:tr>
        <w:tblPrEx>
          <w:tblCellMar>
            <w:top w:w="0" w:type="dxa"/>
            <w:left w:w="0" w:type="dxa"/>
            <w:bottom w:w="0" w:type="dxa"/>
            <w:right w:w="0" w:type="dxa"/>
          </w:tblCellMar>
        </w:tblPrEx>
        <w:trPr>
          <w:trHeight w:val="283" w:hRule="atLeast"/>
          <w:jc w:val="center"/>
        </w:trPr>
        <w:tc>
          <w:tcPr>
            <w:tcW w:w="9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auto"/>
                <w:sz w:val="18"/>
                <w:szCs w:val="18"/>
                <w:u w:val="none"/>
                <w:lang w:eastAsia="zh-CN"/>
              </w:rPr>
            </w:pPr>
            <w:r>
              <w:rPr>
                <w:rFonts w:hint="default" w:ascii="Times New Roman" w:hAnsi="Times New Roman" w:eastAsia="宋体" w:cs="Times New Roman"/>
                <w:color w:val="auto"/>
                <w:sz w:val="18"/>
                <w:szCs w:val="18"/>
                <w:lang w:eastAsia="zh-CN"/>
              </w:rPr>
              <w:t>办公生活区</w:t>
            </w:r>
          </w:p>
        </w:tc>
        <w:tc>
          <w:tcPr>
            <w:tcW w:w="7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auto"/>
                <w:sz w:val="18"/>
                <w:szCs w:val="18"/>
                <w:u w:val="none"/>
                <w:lang w:val="en-US" w:eastAsia="zh-CN"/>
              </w:rPr>
            </w:pPr>
            <w:r>
              <w:rPr>
                <w:rFonts w:hint="default" w:ascii="Times New Roman" w:hAnsi="Times New Roman" w:eastAsia="宋体" w:cs="Times New Roman"/>
                <w:color w:val="auto"/>
                <w:sz w:val="18"/>
                <w:szCs w:val="18"/>
                <w:lang w:val="en-US" w:eastAsia="zh-CN"/>
              </w:rPr>
              <w:t>68</w:t>
            </w:r>
          </w:p>
        </w:tc>
        <w:tc>
          <w:tcPr>
            <w:tcW w:w="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不发育</w:t>
            </w:r>
          </w:p>
        </w:tc>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较轻</w:t>
            </w:r>
          </w:p>
        </w:tc>
        <w:tc>
          <w:tcPr>
            <w:tcW w:w="35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color w:val="auto"/>
                <w:sz w:val="18"/>
                <w:szCs w:val="18"/>
                <w:highlight w:val="none"/>
                <w:lang w:val="en-US" w:eastAsia="zh-CN"/>
              </w:rPr>
              <w:t>办公生活区位于矿区西侧，矿区范围外，建筑面积68m</w:t>
            </w:r>
            <w:r>
              <w:rPr>
                <w:rFonts w:hint="default" w:ascii="Times New Roman" w:hAnsi="Times New Roman" w:eastAsia="宋体" w:cs="Times New Roman"/>
                <w:color w:val="auto"/>
                <w:sz w:val="18"/>
                <w:szCs w:val="18"/>
                <w:highlight w:val="none"/>
                <w:vertAlign w:val="superscript"/>
                <w:lang w:val="en-US" w:eastAsia="zh-CN"/>
              </w:rPr>
              <w:t>2</w:t>
            </w:r>
            <w:r>
              <w:rPr>
                <w:rFonts w:hint="default" w:ascii="Times New Roman" w:hAnsi="Times New Roman" w:eastAsia="宋体" w:cs="Times New Roman"/>
                <w:color w:val="auto"/>
                <w:sz w:val="18"/>
                <w:szCs w:val="18"/>
                <w:highlight w:val="none"/>
                <w:lang w:val="en-US" w:eastAsia="zh-CN"/>
              </w:rPr>
              <w:t>，建筑物高度3m，办公生活区周围场地均已进行治理。</w:t>
            </w:r>
          </w:p>
        </w:tc>
        <w:tc>
          <w:tcPr>
            <w:tcW w:w="1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损毁有林地</w:t>
            </w:r>
          </w:p>
        </w:tc>
      </w:tr>
      <w:tr>
        <w:tblPrEx>
          <w:tblCellMar>
            <w:top w:w="0" w:type="dxa"/>
            <w:left w:w="0" w:type="dxa"/>
            <w:bottom w:w="0" w:type="dxa"/>
            <w:right w:w="0" w:type="dxa"/>
          </w:tblCellMar>
        </w:tblPrEx>
        <w:trPr>
          <w:trHeight w:val="283" w:hRule="atLeast"/>
          <w:jc w:val="center"/>
        </w:trPr>
        <w:tc>
          <w:tcPr>
            <w:tcW w:w="9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color w:val="auto"/>
                <w:sz w:val="18"/>
                <w:szCs w:val="18"/>
                <w:lang w:eastAsia="zh-CN"/>
              </w:rPr>
            </w:pPr>
            <w:r>
              <w:rPr>
                <w:rFonts w:hint="default" w:ascii="Times New Roman" w:hAnsi="Times New Roman" w:eastAsia="宋体" w:cs="Times New Roman"/>
                <w:color w:val="auto"/>
                <w:sz w:val="18"/>
                <w:szCs w:val="18"/>
                <w:lang w:eastAsia="zh-CN"/>
              </w:rPr>
              <w:t>料堆</w:t>
            </w:r>
          </w:p>
        </w:tc>
        <w:tc>
          <w:tcPr>
            <w:tcW w:w="7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11355</w:t>
            </w:r>
          </w:p>
        </w:tc>
        <w:tc>
          <w:tcPr>
            <w:tcW w:w="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18"/>
                <w:szCs w:val="18"/>
                <w:u w:val="none"/>
                <w:lang w:val="en-US" w:eastAsia="zh-CN" w:bidi="ar"/>
              </w:rPr>
            </w:pPr>
            <w:r>
              <w:rPr>
                <w:rFonts w:hint="default" w:ascii="Times New Roman" w:hAnsi="Times New Roman" w:eastAsia="宋体" w:cs="Times New Roman"/>
                <w:i w:val="0"/>
                <w:color w:val="auto"/>
                <w:kern w:val="0"/>
                <w:sz w:val="18"/>
                <w:szCs w:val="18"/>
                <w:u w:val="none"/>
                <w:lang w:val="en-US" w:eastAsia="zh-CN" w:bidi="ar"/>
              </w:rPr>
              <w:t>不发育</w:t>
            </w:r>
          </w:p>
        </w:tc>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18"/>
                <w:szCs w:val="18"/>
                <w:u w:val="none"/>
                <w:lang w:val="en-US" w:eastAsia="zh-CN" w:bidi="ar"/>
              </w:rPr>
            </w:pPr>
            <w:r>
              <w:rPr>
                <w:rFonts w:hint="default" w:ascii="Times New Roman" w:hAnsi="Times New Roman" w:eastAsia="宋体" w:cs="Times New Roman"/>
                <w:i w:val="0"/>
                <w:color w:val="auto"/>
                <w:kern w:val="0"/>
                <w:sz w:val="18"/>
                <w:szCs w:val="18"/>
                <w:u w:val="none"/>
                <w:lang w:val="en-US" w:eastAsia="zh-CN" w:bidi="ar"/>
              </w:rPr>
              <w:t>较轻</w:t>
            </w:r>
          </w:p>
        </w:tc>
        <w:tc>
          <w:tcPr>
            <w:tcW w:w="35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highlight w:val="none"/>
                <w:lang w:val="en-US" w:eastAsia="zh-CN"/>
              </w:rPr>
              <w:t>料堆场地位于矿区范围外，矿区西北侧，</w:t>
            </w:r>
            <w:r>
              <w:rPr>
                <w:rFonts w:hint="default" w:ascii="Times New Roman" w:hAnsi="Times New Roman" w:eastAsia="宋体" w:cs="Times New Roman"/>
                <w:color w:val="auto"/>
                <w:sz w:val="18"/>
                <w:szCs w:val="18"/>
                <w:highlight w:val="none"/>
              </w:rPr>
              <w:t>占地面积</w:t>
            </w:r>
            <w:r>
              <w:rPr>
                <w:rFonts w:hint="default" w:ascii="Times New Roman" w:hAnsi="Times New Roman" w:eastAsia="宋体" w:cs="Times New Roman"/>
                <w:color w:val="auto"/>
                <w:sz w:val="18"/>
                <w:szCs w:val="18"/>
                <w:highlight w:val="none"/>
                <w:lang w:val="en-US" w:eastAsia="zh-CN"/>
              </w:rPr>
              <w:t>11355</w:t>
            </w:r>
            <w:r>
              <w:rPr>
                <w:rFonts w:hint="default" w:ascii="Times New Roman" w:hAnsi="Times New Roman" w:eastAsia="宋体" w:cs="Times New Roman"/>
                <w:color w:val="auto"/>
                <w:sz w:val="18"/>
                <w:szCs w:val="18"/>
                <w:highlight w:val="none"/>
              </w:rPr>
              <w:t>m</w:t>
            </w:r>
            <w:r>
              <w:rPr>
                <w:rFonts w:hint="default" w:ascii="Times New Roman" w:hAnsi="Times New Roman" w:eastAsia="宋体" w:cs="Times New Roman"/>
                <w:color w:val="auto"/>
                <w:sz w:val="18"/>
                <w:szCs w:val="18"/>
                <w:highlight w:val="none"/>
                <w:vertAlign w:val="superscript"/>
              </w:rPr>
              <w:t>2</w:t>
            </w:r>
            <w:r>
              <w:rPr>
                <w:rFonts w:hint="default" w:ascii="Times New Roman" w:hAnsi="Times New Roman" w:eastAsia="宋体" w:cs="Times New Roman"/>
                <w:color w:val="auto"/>
                <w:sz w:val="18"/>
                <w:szCs w:val="18"/>
                <w:highlight w:val="none"/>
                <w:lang w:eastAsia="zh-CN"/>
              </w:rPr>
              <w:t>，</w:t>
            </w:r>
            <w:r>
              <w:rPr>
                <w:rFonts w:hint="default" w:ascii="Times New Roman" w:hAnsi="Times New Roman" w:eastAsia="宋体" w:cs="Times New Roman"/>
                <w:b w:val="0"/>
                <w:bCs w:val="0"/>
                <w:color w:val="auto"/>
                <w:kern w:val="0"/>
                <w:sz w:val="18"/>
                <w:szCs w:val="18"/>
                <w:lang w:val="en-US" w:eastAsia="zh-CN"/>
              </w:rPr>
              <w:t>堆积高度3~5m，</w:t>
            </w:r>
            <w:r>
              <w:rPr>
                <w:rFonts w:hint="default" w:ascii="Times New Roman" w:hAnsi="Times New Roman" w:eastAsia="宋体" w:cs="Times New Roman"/>
                <w:color w:val="auto"/>
                <w:sz w:val="18"/>
                <w:szCs w:val="18"/>
              </w:rPr>
              <w:t>堆放坡度</w:t>
            </w:r>
            <w:r>
              <w:rPr>
                <w:rFonts w:hint="default" w:ascii="Times New Roman" w:hAnsi="Times New Roman" w:eastAsia="宋体" w:cs="Times New Roman"/>
                <w:color w:val="auto"/>
                <w:sz w:val="18"/>
                <w:szCs w:val="18"/>
                <w:lang w:eastAsia="zh-CN"/>
              </w:rPr>
              <w:t>＜</w:t>
            </w:r>
            <w:r>
              <w:rPr>
                <w:rFonts w:hint="default" w:ascii="Times New Roman" w:hAnsi="Times New Roman" w:eastAsia="宋体" w:cs="Times New Roman"/>
                <w:color w:val="auto"/>
                <w:sz w:val="18"/>
                <w:szCs w:val="18"/>
                <w:lang w:val="en-US" w:eastAsia="zh-CN"/>
              </w:rPr>
              <w:t>40</w:t>
            </w:r>
            <w:r>
              <w:rPr>
                <w:rFonts w:hint="default" w:ascii="Times New Roman" w:hAnsi="Times New Roman" w:eastAsia="宋体" w:cs="Times New Roman"/>
                <w:color w:val="auto"/>
                <w:sz w:val="18"/>
                <w:szCs w:val="18"/>
              </w:rPr>
              <w:t>°，</w:t>
            </w:r>
            <w:r>
              <w:rPr>
                <w:rFonts w:hint="default" w:ascii="Times New Roman" w:hAnsi="Times New Roman" w:eastAsia="宋体" w:cs="Times New Roman"/>
                <w:color w:val="auto"/>
                <w:sz w:val="18"/>
                <w:szCs w:val="18"/>
                <w:lang w:eastAsia="zh-CN"/>
              </w:rPr>
              <w:t>堆积方量约</w:t>
            </w:r>
            <w:r>
              <w:rPr>
                <w:rFonts w:hint="default" w:ascii="Times New Roman" w:hAnsi="Times New Roman" w:eastAsia="宋体" w:cs="Times New Roman"/>
                <w:color w:val="auto"/>
                <w:sz w:val="18"/>
                <w:szCs w:val="18"/>
                <w:lang w:val="en-US" w:eastAsia="zh-CN"/>
              </w:rPr>
              <w:t>12600m</w:t>
            </w:r>
            <w:r>
              <w:rPr>
                <w:rFonts w:hint="default" w:ascii="Times New Roman" w:hAnsi="Times New Roman" w:eastAsia="宋体" w:cs="Times New Roman"/>
                <w:color w:val="auto"/>
                <w:sz w:val="18"/>
                <w:szCs w:val="18"/>
                <w:vertAlign w:val="superscript"/>
                <w:lang w:val="en-US" w:eastAsia="zh-CN"/>
              </w:rPr>
              <w:t>3</w:t>
            </w:r>
            <w:r>
              <w:rPr>
                <w:rFonts w:hint="default" w:ascii="Times New Roman" w:hAnsi="Times New Roman" w:eastAsia="宋体" w:cs="Times New Roman"/>
                <w:color w:val="auto"/>
                <w:sz w:val="18"/>
                <w:szCs w:val="18"/>
                <w:lang w:val="en-US" w:eastAsia="zh-CN"/>
              </w:rPr>
              <w:t>。</w:t>
            </w:r>
          </w:p>
        </w:tc>
        <w:tc>
          <w:tcPr>
            <w:tcW w:w="1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18"/>
                <w:szCs w:val="18"/>
                <w:u w:val="none"/>
                <w:lang w:val="en-US" w:eastAsia="zh-CN" w:bidi="ar"/>
              </w:rPr>
            </w:pPr>
            <w:r>
              <w:rPr>
                <w:rFonts w:hint="default" w:ascii="Times New Roman" w:hAnsi="Times New Roman" w:eastAsia="宋体" w:cs="Times New Roman"/>
                <w:i w:val="0"/>
                <w:color w:val="auto"/>
                <w:kern w:val="0"/>
                <w:sz w:val="18"/>
                <w:szCs w:val="18"/>
                <w:u w:val="none"/>
                <w:lang w:val="en-US" w:eastAsia="zh-CN" w:bidi="ar"/>
              </w:rPr>
              <w:t>损毁有林地</w:t>
            </w:r>
          </w:p>
        </w:tc>
      </w:tr>
      <w:tr>
        <w:tblPrEx>
          <w:tblCellMar>
            <w:top w:w="0" w:type="dxa"/>
            <w:left w:w="0" w:type="dxa"/>
            <w:bottom w:w="0" w:type="dxa"/>
            <w:right w:w="0" w:type="dxa"/>
          </w:tblCellMar>
        </w:tblPrEx>
        <w:trPr>
          <w:trHeight w:val="283" w:hRule="atLeast"/>
          <w:jc w:val="center"/>
        </w:trPr>
        <w:tc>
          <w:tcPr>
            <w:tcW w:w="9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auto"/>
                <w:sz w:val="18"/>
                <w:szCs w:val="18"/>
                <w:u w:val="none"/>
                <w:lang w:eastAsia="zh-CN"/>
              </w:rPr>
            </w:pPr>
            <w:r>
              <w:rPr>
                <w:rFonts w:hint="default" w:ascii="Times New Roman" w:hAnsi="Times New Roman" w:eastAsia="宋体" w:cs="Times New Roman"/>
                <w:bCs/>
                <w:color w:val="auto"/>
                <w:sz w:val="18"/>
                <w:szCs w:val="18"/>
                <w:lang w:eastAsia="zh-CN"/>
              </w:rPr>
              <w:t>矿区道路</w:t>
            </w:r>
          </w:p>
        </w:tc>
        <w:tc>
          <w:tcPr>
            <w:tcW w:w="7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auto"/>
                <w:sz w:val="18"/>
                <w:szCs w:val="18"/>
                <w:u w:val="none"/>
                <w:lang w:val="en-US" w:eastAsia="zh-CN"/>
              </w:rPr>
            </w:pPr>
            <w:r>
              <w:rPr>
                <w:rFonts w:hint="default" w:ascii="Times New Roman" w:hAnsi="Times New Roman" w:eastAsia="宋体" w:cs="Times New Roman"/>
                <w:color w:val="auto"/>
                <w:sz w:val="18"/>
                <w:szCs w:val="18"/>
                <w:lang w:val="en-US" w:eastAsia="zh-CN"/>
              </w:rPr>
              <w:t>2340</w:t>
            </w:r>
          </w:p>
        </w:tc>
        <w:tc>
          <w:tcPr>
            <w:tcW w:w="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不发育</w:t>
            </w:r>
          </w:p>
        </w:tc>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较轻</w:t>
            </w:r>
          </w:p>
        </w:tc>
        <w:tc>
          <w:tcPr>
            <w:tcW w:w="35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color w:val="auto"/>
                <w:sz w:val="18"/>
                <w:szCs w:val="18"/>
              </w:rPr>
              <w:t>连接各个场地之间的道路、供矿石、废石、材料等运输。矿区道路为土石路，长</w:t>
            </w:r>
            <w:r>
              <w:rPr>
                <w:rFonts w:hint="default" w:ascii="Times New Roman" w:hAnsi="Times New Roman" w:eastAsia="宋体" w:cs="Times New Roman"/>
                <w:color w:val="auto"/>
                <w:sz w:val="18"/>
                <w:szCs w:val="18"/>
                <w:lang w:val="en-US" w:eastAsia="zh-CN"/>
              </w:rPr>
              <w:t>780</w:t>
            </w:r>
            <w:r>
              <w:rPr>
                <w:rFonts w:hint="default" w:ascii="Times New Roman" w:hAnsi="Times New Roman" w:eastAsia="宋体" w:cs="Times New Roman"/>
                <w:color w:val="auto"/>
                <w:sz w:val="18"/>
                <w:szCs w:val="18"/>
              </w:rPr>
              <w:t>m，宽度3m，占地面积</w:t>
            </w:r>
            <w:r>
              <w:rPr>
                <w:rFonts w:hint="default" w:ascii="Times New Roman" w:hAnsi="Times New Roman" w:eastAsia="宋体" w:cs="Times New Roman"/>
                <w:color w:val="auto"/>
                <w:sz w:val="18"/>
                <w:szCs w:val="18"/>
                <w:lang w:val="en-US" w:eastAsia="zh-CN"/>
              </w:rPr>
              <w:t>2340</w:t>
            </w:r>
            <w:r>
              <w:rPr>
                <w:rFonts w:hint="default" w:ascii="Times New Roman" w:hAnsi="Times New Roman" w:eastAsia="宋体" w:cs="Times New Roman"/>
                <w:color w:val="auto"/>
                <w:sz w:val="18"/>
                <w:szCs w:val="18"/>
              </w:rPr>
              <w:t>m</w:t>
            </w:r>
            <w:r>
              <w:rPr>
                <w:rFonts w:hint="default" w:ascii="Times New Roman" w:hAnsi="Times New Roman" w:eastAsia="宋体" w:cs="Times New Roman"/>
                <w:color w:val="auto"/>
                <w:sz w:val="18"/>
                <w:szCs w:val="18"/>
                <w:vertAlign w:val="superscript"/>
              </w:rPr>
              <w:t>2</w:t>
            </w:r>
            <w:r>
              <w:rPr>
                <w:rFonts w:hint="default" w:ascii="Times New Roman" w:hAnsi="Times New Roman" w:eastAsia="宋体" w:cs="Times New Roman"/>
                <w:color w:val="auto"/>
                <w:sz w:val="18"/>
                <w:szCs w:val="18"/>
              </w:rPr>
              <w:t>。</w:t>
            </w:r>
            <w:r>
              <w:rPr>
                <w:rFonts w:hint="default" w:ascii="Times New Roman" w:hAnsi="Times New Roman" w:eastAsia="宋体" w:cs="Times New Roman"/>
                <w:color w:val="auto"/>
                <w:sz w:val="18"/>
                <w:szCs w:val="18"/>
                <w:lang w:eastAsia="zh-CN"/>
              </w:rPr>
              <w:t>部分矿区道路存在切坡，道路切坡长度</w:t>
            </w:r>
            <w:r>
              <w:rPr>
                <w:rFonts w:hint="default" w:ascii="Times New Roman" w:hAnsi="Times New Roman" w:eastAsia="宋体" w:cs="Times New Roman"/>
                <w:color w:val="auto"/>
                <w:sz w:val="18"/>
                <w:szCs w:val="18"/>
                <w:lang w:val="en-US" w:eastAsia="zh-CN"/>
              </w:rPr>
              <w:t>355m，切坡高度1~2m，切坡坡度45~60°。</w:t>
            </w:r>
          </w:p>
        </w:tc>
        <w:tc>
          <w:tcPr>
            <w:tcW w:w="1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损毁有林地</w:t>
            </w:r>
          </w:p>
        </w:tc>
      </w:tr>
      <w:tr>
        <w:tblPrEx>
          <w:shd w:val="clear" w:color="auto" w:fill="auto"/>
          <w:tblCellMar>
            <w:top w:w="0" w:type="dxa"/>
            <w:left w:w="0" w:type="dxa"/>
            <w:bottom w:w="0" w:type="dxa"/>
            <w:right w:w="0" w:type="dxa"/>
          </w:tblCellMar>
        </w:tblPrEx>
        <w:trPr>
          <w:trHeight w:val="283" w:hRule="atLeast"/>
          <w:jc w:val="center"/>
        </w:trPr>
        <w:tc>
          <w:tcPr>
            <w:tcW w:w="9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合计</w:t>
            </w:r>
          </w:p>
        </w:tc>
        <w:tc>
          <w:tcPr>
            <w:tcW w:w="7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lang w:val="en-US"/>
              </w:rPr>
            </w:pPr>
            <w:r>
              <w:rPr>
                <w:rFonts w:hint="default" w:ascii="Times New Roman" w:hAnsi="Times New Roman" w:eastAsia="宋体" w:cs="Times New Roman"/>
                <w:i w:val="0"/>
                <w:color w:val="auto"/>
                <w:kern w:val="0"/>
                <w:sz w:val="18"/>
                <w:szCs w:val="18"/>
                <w:u w:val="none"/>
                <w:lang w:val="en-US" w:eastAsia="zh-CN" w:bidi="ar"/>
              </w:rPr>
              <w:t>28667</w:t>
            </w:r>
          </w:p>
        </w:tc>
        <w:tc>
          <w:tcPr>
            <w:tcW w:w="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auto"/>
                <w:sz w:val="18"/>
                <w:szCs w:val="18"/>
                <w:u w:val="none"/>
                <w:lang w:val="en-US" w:eastAsia="zh-CN"/>
              </w:rPr>
            </w:pPr>
            <w:r>
              <w:rPr>
                <w:rFonts w:hint="default" w:ascii="Times New Roman" w:hAnsi="Times New Roman" w:eastAsia="宋体" w:cs="Times New Roman"/>
                <w:i w:val="0"/>
                <w:color w:val="auto"/>
                <w:sz w:val="18"/>
                <w:szCs w:val="18"/>
                <w:u w:val="none"/>
                <w:lang w:val="en-US" w:eastAsia="zh-CN"/>
              </w:rPr>
              <w:t>--</w:t>
            </w:r>
          </w:p>
        </w:tc>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auto"/>
                <w:sz w:val="18"/>
                <w:szCs w:val="18"/>
                <w:u w:val="none"/>
                <w:lang w:val="en-US" w:eastAsia="zh-CN"/>
              </w:rPr>
            </w:pPr>
            <w:r>
              <w:rPr>
                <w:rFonts w:hint="default" w:ascii="Times New Roman" w:hAnsi="Times New Roman" w:eastAsia="宋体" w:cs="Times New Roman"/>
                <w:i w:val="0"/>
                <w:color w:val="auto"/>
                <w:sz w:val="18"/>
                <w:szCs w:val="18"/>
                <w:u w:val="none"/>
                <w:lang w:val="en-US" w:eastAsia="zh-CN"/>
              </w:rPr>
              <w:t>--</w:t>
            </w:r>
          </w:p>
        </w:tc>
        <w:tc>
          <w:tcPr>
            <w:tcW w:w="35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auto"/>
                <w:sz w:val="18"/>
                <w:szCs w:val="18"/>
                <w:u w:val="none"/>
                <w:lang w:val="en-US" w:eastAsia="zh-CN"/>
              </w:rPr>
            </w:pPr>
            <w:r>
              <w:rPr>
                <w:rFonts w:hint="default" w:ascii="Times New Roman" w:hAnsi="Times New Roman" w:eastAsia="宋体" w:cs="Times New Roman"/>
                <w:i w:val="0"/>
                <w:color w:val="auto"/>
                <w:sz w:val="18"/>
                <w:szCs w:val="18"/>
                <w:u w:val="none"/>
                <w:lang w:val="en-US" w:eastAsia="zh-CN"/>
              </w:rPr>
              <w:t>--</w:t>
            </w:r>
          </w:p>
        </w:tc>
        <w:tc>
          <w:tcPr>
            <w:tcW w:w="1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auto"/>
                <w:sz w:val="18"/>
                <w:szCs w:val="18"/>
                <w:u w:val="none"/>
                <w:lang w:val="en-US" w:eastAsia="zh-CN"/>
              </w:rPr>
            </w:pPr>
            <w:r>
              <w:rPr>
                <w:rFonts w:hint="default" w:ascii="Times New Roman" w:hAnsi="Times New Roman" w:eastAsia="宋体" w:cs="Times New Roman"/>
                <w:i w:val="0"/>
                <w:color w:val="auto"/>
                <w:sz w:val="18"/>
                <w:szCs w:val="18"/>
                <w:u w:val="none"/>
                <w:lang w:val="en-US" w:eastAsia="zh-CN"/>
              </w:rPr>
              <w:t>--</w:t>
            </w:r>
          </w:p>
        </w:tc>
      </w:tr>
    </w:tbl>
    <w:p>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color w:val="auto"/>
          <w:sz w:val="24"/>
          <w:szCs w:val="24"/>
          <w:lang w:eastAsia="zh-CN"/>
        </w:rPr>
      </w:pPr>
    </w:p>
    <w:p>
      <w:pPr>
        <w:jc w:val="both"/>
        <w:rPr>
          <w:rFonts w:hint="default" w:ascii="Times New Roman" w:hAnsi="Times New Roman" w:eastAsia="宋体" w:cs="Times New Roman"/>
          <w:b/>
          <w:bCs/>
          <w:color w:val="auto"/>
          <w:sz w:val="36"/>
          <w:szCs w:val="36"/>
          <w:lang w:val="en-US" w:eastAsia="zh-CN"/>
        </w:rPr>
      </w:pPr>
      <w:r>
        <w:rPr>
          <w:rFonts w:hint="default" w:ascii="Times New Roman" w:hAnsi="Times New Roman" w:eastAsia="宋体" w:cs="Times New Roman"/>
          <w:b/>
          <w:bCs/>
          <w:color w:val="auto"/>
          <w:sz w:val="36"/>
          <w:szCs w:val="36"/>
          <w:lang w:val="en-US" w:eastAsia="zh-CN"/>
        </w:rPr>
        <w:br w:type="page"/>
      </w:r>
    </w:p>
    <w:p>
      <w:pPr>
        <w:spacing w:line="360" w:lineRule="auto"/>
        <w:jc w:val="center"/>
        <w:outlineLvl w:val="0"/>
        <w:rPr>
          <w:rFonts w:hint="default" w:ascii="Times New Roman" w:hAnsi="Times New Roman" w:eastAsia="宋体" w:cs="Times New Roman"/>
          <w:b/>
          <w:bCs/>
          <w:color w:val="auto"/>
          <w:sz w:val="36"/>
          <w:szCs w:val="36"/>
          <w:lang w:val="en-US" w:eastAsia="zh-CN"/>
        </w:rPr>
      </w:pPr>
      <w:bookmarkStart w:id="47" w:name="_Toc30122"/>
      <w:bookmarkStart w:id="48" w:name="_Toc5944"/>
      <w:bookmarkStart w:id="49" w:name="_Toc32675"/>
      <w:r>
        <w:rPr>
          <w:rFonts w:hint="default" w:ascii="Times New Roman" w:hAnsi="Times New Roman" w:eastAsia="宋体" w:cs="Times New Roman"/>
          <w:b/>
          <w:bCs/>
          <w:color w:val="auto"/>
          <w:sz w:val="32"/>
          <w:szCs w:val="32"/>
          <w:lang w:val="en-US" w:eastAsia="zh-CN"/>
        </w:rPr>
        <w:t>第五章  矿山地质环境防治工程</w:t>
      </w:r>
      <w:bookmarkEnd w:id="46"/>
      <w:bookmarkEnd w:id="47"/>
      <w:bookmarkEnd w:id="48"/>
      <w:bookmarkEnd w:id="49"/>
    </w:p>
    <w:p>
      <w:pPr>
        <w:spacing w:line="360" w:lineRule="auto"/>
        <w:jc w:val="both"/>
        <w:outlineLvl w:val="1"/>
        <w:rPr>
          <w:rFonts w:hint="default" w:ascii="Times New Roman" w:hAnsi="Times New Roman" w:eastAsia="宋体" w:cs="Times New Roman"/>
          <w:b/>
          <w:bCs/>
          <w:color w:val="auto"/>
          <w:sz w:val="32"/>
          <w:szCs w:val="32"/>
          <w:lang w:val="en-US" w:eastAsia="zh-CN"/>
        </w:rPr>
      </w:pPr>
      <w:bookmarkStart w:id="50" w:name="_Toc18452"/>
      <w:bookmarkStart w:id="51" w:name="_Toc1322"/>
      <w:bookmarkStart w:id="52" w:name="_Toc10431"/>
      <w:r>
        <w:rPr>
          <w:rFonts w:hint="default" w:ascii="Times New Roman" w:hAnsi="Times New Roman" w:eastAsia="宋体" w:cs="Times New Roman"/>
          <w:b/>
          <w:bCs/>
          <w:color w:val="auto"/>
          <w:sz w:val="28"/>
          <w:szCs w:val="28"/>
          <w:lang w:val="en-US" w:eastAsia="zh-CN"/>
        </w:rPr>
        <w:t>一、矿山地质环境治理区的确定</w:t>
      </w:r>
      <w:bookmarkEnd w:id="50"/>
      <w:bookmarkEnd w:id="51"/>
      <w:bookmarkEnd w:id="52"/>
    </w:p>
    <w:p>
      <w:pPr>
        <w:spacing w:line="360" w:lineRule="auto"/>
        <w:ind w:firstLine="480"/>
        <w:jc w:val="left"/>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b/>
          <w:bCs/>
          <w:color w:val="auto"/>
          <w:sz w:val="24"/>
          <w:szCs w:val="24"/>
        </w:rPr>
        <w:t>治理区及土地复垦责任区确定的原则、</w:t>
      </w:r>
      <w:r>
        <w:rPr>
          <w:rFonts w:hint="default" w:ascii="Times New Roman" w:hAnsi="Times New Roman" w:eastAsia="宋体" w:cs="Times New Roman"/>
          <w:b/>
          <w:bCs/>
          <w:color w:val="auto"/>
          <w:sz w:val="24"/>
          <w:szCs w:val="24"/>
          <w:lang w:eastAsia="zh-CN"/>
        </w:rPr>
        <w:t>依据</w:t>
      </w:r>
    </w:p>
    <w:p>
      <w:pPr>
        <w:spacing w:line="360" w:lineRule="auto"/>
        <w:ind w:firstLine="48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rPr>
        <w:t>根据矿山地质环境影响现状和预测结果，进行治理区的确定。</w:t>
      </w:r>
    </w:p>
    <w:p>
      <w:pPr>
        <w:spacing w:line="360" w:lineRule="auto"/>
        <w:ind w:firstLine="48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rPr>
        <w:t>治理区的确定要与矿业生产相协调，应治、可治场地必须治理。</w:t>
      </w:r>
    </w:p>
    <w:p>
      <w:pPr>
        <w:numPr>
          <w:ilvl w:val="0"/>
          <w:numId w:val="0"/>
        </w:numPr>
        <w:spacing w:line="360" w:lineRule="auto"/>
        <w:ind w:firstLine="480" w:firstLineChars="200"/>
        <w:jc w:val="both"/>
        <w:rPr>
          <w:rFonts w:hint="eastAsia" w:eastAsia="宋体" w:cs="Times New Roman"/>
          <w:b w:val="0"/>
          <w:bCs w:val="0"/>
          <w:color w:val="auto"/>
          <w:sz w:val="24"/>
          <w:szCs w:val="24"/>
          <w:lang w:val="en-US" w:eastAsia="zh-CN"/>
        </w:rPr>
      </w:pPr>
      <w:r>
        <w:rPr>
          <w:rFonts w:hint="default"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lang w:eastAsia="zh-CN"/>
        </w:rPr>
        <w:t>结合综合治理方案，对于综合治理方案近期设计治理内容，逐年依次列入年度治理计划设计进行治理。</w:t>
      </w:r>
    </w:p>
    <w:p>
      <w:pPr>
        <w:spacing w:line="360" w:lineRule="auto"/>
        <w:ind w:firstLine="480"/>
        <w:jc w:val="left"/>
        <w:rPr>
          <w:rFonts w:hint="eastAsia" w:ascii="Times New Roman" w:hAnsi="Times New Roman" w:eastAsia="宋体" w:cs="Times New Roman"/>
          <w:b w:val="0"/>
          <w:bCs w:val="0"/>
          <w:color w:val="auto"/>
          <w:sz w:val="24"/>
          <w:szCs w:val="24"/>
          <w:lang w:val="en-US" w:eastAsia="zh-CN"/>
        </w:rPr>
      </w:pPr>
      <w:r>
        <w:rPr>
          <w:rFonts w:hint="eastAsia" w:eastAsia="宋体" w:cs="Times New Roman"/>
          <w:b w:val="0"/>
          <w:bCs w:val="0"/>
          <w:color w:val="auto"/>
          <w:sz w:val="24"/>
          <w:szCs w:val="24"/>
          <w:lang w:val="en-US" w:eastAsia="zh-CN"/>
        </w:rPr>
        <w:t>经收集资料及</w:t>
      </w:r>
      <w:r>
        <w:rPr>
          <w:rFonts w:hint="default" w:ascii="Times New Roman" w:hAnsi="Times New Roman" w:eastAsia="宋体" w:cs="Times New Roman"/>
          <w:b w:val="0"/>
          <w:bCs w:val="0"/>
          <w:color w:val="auto"/>
          <w:sz w:val="24"/>
          <w:szCs w:val="24"/>
          <w:lang w:eastAsia="zh-CN"/>
        </w:rPr>
        <w:t>矿山实地调查，</w:t>
      </w:r>
      <w:r>
        <w:rPr>
          <w:rFonts w:hint="default" w:ascii="Times New Roman" w:hAnsi="Times New Roman" w:eastAsia="宋体" w:cs="Times New Roman"/>
          <w:color w:val="auto"/>
          <w:sz w:val="24"/>
          <w:szCs w:val="24"/>
        </w:rPr>
        <w:t>2016年5月由</w:t>
      </w:r>
      <w:r>
        <w:rPr>
          <w:rFonts w:hint="default" w:ascii="Times New Roman" w:hAnsi="Times New Roman" w:eastAsia="宋体" w:cs="Times New Roman"/>
          <w:bCs/>
          <w:color w:val="auto"/>
          <w:sz w:val="24"/>
          <w:szCs w:val="24"/>
        </w:rPr>
        <w:t>赤峰北方地质勘查测绘有限公司</w:t>
      </w:r>
      <w:r>
        <w:rPr>
          <w:rFonts w:hint="default" w:ascii="Times New Roman" w:hAnsi="Times New Roman" w:eastAsia="宋体" w:cs="Times New Roman"/>
          <w:color w:val="auto"/>
          <w:sz w:val="24"/>
          <w:szCs w:val="24"/>
        </w:rPr>
        <w:t>编制的《</w:t>
      </w:r>
      <w:r>
        <w:rPr>
          <w:rFonts w:hint="default" w:ascii="Times New Roman" w:hAnsi="Times New Roman" w:eastAsia="宋体" w:cs="Times New Roman"/>
          <w:bCs/>
          <w:color w:val="auto"/>
          <w:sz w:val="24"/>
          <w:szCs w:val="24"/>
        </w:rPr>
        <w:t>内蒙古自治区赤峰市元宝山区美丽河镇大金沟村建筑用石玄武岩矿开发与治理综合方案</w:t>
      </w:r>
      <w:r>
        <w:rPr>
          <w:rFonts w:hint="default" w:ascii="Times New Roman" w:hAnsi="Times New Roman" w:eastAsia="宋体" w:cs="Times New Roman"/>
          <w:color w:val="auto"/>
          <w:sz w:val="24"/>
          <w:szCs w:val="24"/>
        </w:rPr>
        <w:t>》</w:t>
      </w:r>
      <w:r>
        <w:rPr>
          <w:rFonts w:hint="eastAsia" w:eastAsia="宋体" w:cs="Times New Roman"/>
          <w:b w:val="0"/>
          <w:bCs w:val="0"/>
          <w:color w:val="auto"/>
          <w:sz w:val="24"/>
          <w:szCs w:val="24"/>
          <w:lang w:val="en-US" w:eastAsia="zh-CN"/>
        </w:rPr>
        <w:t>已过试用期，</w:t>
      </w:r>
      <w:r>
        <w:rPr>
          <w:rFonts w:hint="eastAsia" w:ascii="Times New Roman" w:hAnsi="Times New Roman" w:eastAsia="宋体" w:cs="Times New Roman"/>
          <w:b w:val="0"/>
          <w:bCs w:val="0"/>
          <w:color w:val="auto"/>
          <w:sz w:val="24"/>
          <w:szCs w:val="24"/>
          <w:lang w:val="en-US" w:eastAsia="zh-CN"/>
        </w:rPr>
        <w:t>方案适用性较差，无实质性治理工程。</w:t>
      </w:r>
    </w:p>
    <w:p>
      <w:pPr>
        <w:spacing w:line="360" w:lineRule="auto"/>
        <w:ind w:firstLine="480"/>
        <w:jc w:val="left"/>
        <w:rPr>
          <w:rFonts w:hint="default" w:cs="Times New Roman"/>
          <w:color w:val="auto"/>
          <w:kern w:val="2"/>
          <w:sz w:val="24"/>
          <w:szCs w:val="24"/>
          <w:lang w:val="en-US" w:eastAsia="zh-CN" w:bidi="ar"/>
        </w:rPr>
      </w:pPr>
      <w:r>
        <w:rPr>
          <w:rFonts w:hint="default" w:ascii="Times New Roman" w:hAnsi="Times New Roman" w:eastAsia="宋体" w:cs="Times New Roman"/>
          <w:color w:val="auto"/>
          <w:sz w:val="24"/>
          <w:szCs w:val="24"/>
          <w:lang w:val="en-US" w:eastAsia="zh-CN"/>
        </w:rPr>
        <w:t>根据</w:t>
      </w:r>
      <w:r>
        <w:rPr>
          <w:rFonts w:hint="default" w:ascii="Times New Roman" w:hAnsi="Times New Roman" w:eastAsia="宋体" w:cs="Times New Roman"/>
          <w:bCs/>
          <w:color w:val="auto"/>
          <w:sz w:val="24"/>
          <w:szCs w:val="24"/>
          <w:lang w:val="en-US" w:eastAsia="zh-CN"/>
        </w:rPr>
        <w:t>赤峰比尔商贸有限公司</w:t>
      </w:r>
      <w:r>
        <w:rPr>
          <w:rFonts w:hint="default" w:ascii="Times New Roman" w:hAnsi="Times New Roman" w:eastAsia="宋体" w:cs="Times New Roman"/>
          <w:color w:val="auto"/>
          <w:sz w:val="24"/>
          <w:szCs w:val="24"/>
          <w:lang w:val="en-US" w:eastAsia="zh-CN"/>
        </w:rPr>
        <w:t>对</w:t>
      </w:r>
      <w:r>
        <w:rPr>
          <w:rFonts w:hint="default" w:ascii="Times New Roman" w:hAnsi="Times New Roman" w:eastAsia="宋体" w:cs="Times New Roman"/>
          <w:bCs/>
          <w:color w:val="auto"/>
          <w:sz w:val="24"/>
          <w:szCs w:val="24"/>
        </w:rPr>
        <w:t>赤峰市元宝山区美丽河镇大金沟村建筑用石玄武岩矿</w:t>
      </w:r>
      <w:r>
        <w:rPr>
          <w:rFonts w:hint="default" w:ascii="Times New Roman" w:hAnsi="Times New Roman" w:eastAsia="宋体" w:cs="Times New Roman"/>
          <w:color w:val="auto"/>
          <w:sz w:val="24"/>
          <w:szCs w:val="24"/>
          <w:lang w:val="en-US" w:eastAsia="zh-CN"/>
        </w:rPr>
        <w:t>的工作安排，2024年度继续办理与采矿权相关的前期工作</w:t>
      </w:r>
      <w:r>
        <w:rPr>
          <w:rFonts w:hint="eastAsia" w:ascii="Times New Roman" w:hAnsi="Times New Roman" w:eastAsia="宋体" w:cs="Times New Roman"/>
          <w:color w:val="auto"/>
          <w:sz w:val="24"/>
          <w:szCs w:val="24"/>
          <w:lang w:val="en-US" w:eastAsia="zh-CN"/>
        </w:rPr>
        <w:t>，且矿山现状存在矿权纠纷。根据矿山实际情况，</w:t>
      </w:r>
      <w:r>
        <w:rPr>
          <w:rFonts w:hint="default" w:ascii="Times New Roman" w:hAnsi="Times New Roman" w:eastAsia="宋体" w:cs="Times New Roman"/>
          <w:color w:val="auto"/>
          <w:kern w:val="2"/>
          <w:sz w:val="24"/>
          <w:szCs w:val="24"/>
          <w:lang w:val="en-US" w:eastAsia="zh-CN" w:bidi="ar"/>
        </w:rPr>
        <w:t>结合矿山地质环境现状，按照</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kern w:val="2"/>
          <w:sz w:val="24"/>
          <w:szCs w:val="24"/>
          <w:lang w:val="en-US" w:eastAsia="zh-CN" w:bidi="ar"/>
        </w:rPr>
        <w:t>应治可治全部治理</w:t>
      </w:r>
      <w:r>
        <w:rPr>
          <w:rFonts w:hint="default" w:ascii="Times New Roman" w:hAnsi="Times New Roman" w:eastAsia="宋体" w:cs="Times New Roman"/>
          <w:color w:val="auto"/>
          <w:sz w:val="24"/>
          <w:szCs w:val="24"/>
          <w:lang w:val="en-US" w:eastAsia="zh-CN"/>
        </w:rPr>
        <w:t>”的原则，确定</w:t>
      </w:r>
      <w:r>
        <w:rPr>
          <w:rFonts w:hint="default" w:ascii="Times New Roman" w:hAnsi="Times New Roman" w:eastAsia="宋体" w:cs="Times New Roman"/>
          <w:bCs/>
          <w:color w:val="auto"/>
          <w:sz w:val="24"/>
          <w:szCs w:val="24"/>
        </w:rPr>
        <w:t>赤峰市元宝山区美丽河镇大金沟村建筑用石玄武岩矿</w:t>
      </w:r>
      <w:r>
        <w:rPr>
          <w:rFonts w:hint="eastAsia" w:cs="Times New Roman"/>
          <w:color w:val="auto"/>
          <w:sz w:val="24"/>
          <w:szCs w:val="24"/>
          <w:lang w:val="en-US" w:eastAsia="zh-CN"/>
        </w:rPr>
        <w:t>2024</w:t>
      </w:r>
      <w:r>
        <w:rPr>
          <w:rFonts w:hint="default" w:ascii="Times New Roman" w:hAnsi="Times New Roman" w:eastAsia="宋体" w:cs="Times New Roman"/>
          <w:color w:val="auto"/>
          <w:sz w:val="24"/>
          <w:szCs w:val="24"/>
          <w:lang w:val="en-US" w:eastAsia="zh-CN"/>
        </w:rPr>
        <w:t>年度</w:t>
      </w:r>
      <w:r>
        <w:rPr>
          <w:rFonts w:hint="eastAsia" w:cs="Times New Roman"/>
          <w:color w:val="auto"/>
          <w:sz w:val="24"/>
          <w:szCs w:val="24"/>
          <w:lang w:val="en-US" w:eastAsia="zh-CN"/>
        </w:rPr>
        <w:t>不设计新的</w:t>
      </w:r>
      <w:r>
        <w:rPr>
          <w:rFonts w:hint="default" w:ascii="Times New Roman" w:hAnsi="Times New Roman" w:eastAsia="宋体" w:cs="Times New Roman"/>
          <w:color w:val="auto"/>
          <w:sz w:val="24"/>
          <w:szCs w:val="24"/>
          <w:lang w:val="en-US" w:eastAsia="zh-CN"/>
        </w:rPr>
        <w:t>矿山地质环境</w:t>
      </w:r>
      <w:r>
        <w:rPr>
          <w:rFonts w:hint="default" w:ascii="Times New Roman" w:hAnsi="Times New Roman" w:eastAsia="宋体" w:cs="Times New Roman"/>
          <w:color w:val="auto"/>
          <w:kern w:val="2"/>
          <w:sz w:val="24"/>
          <w:szCs w:val="24"/>
          <w:lang w:val="en-US" w:eastAsia="zh-CN" w:bidi="ar"/>
        </w:rPr>
        <w:t>治理单元</w:t>
      </w:r>
      <w:r>
        <w:rPr>
          <w:rFonts w:hint="eastAsia" w:cs="Times New Roman"/>
          <w:color w:val="auto"/>
          <w:kern w:val="2"/>
          <w:sz w:val="24"/>
          <w:szCs w:val="24"/>
          <w:lang w:val="en-US" w:eastAsia="zh-CN" w:bidi="ar"/>
        </w:rPr>
        <w:t>。本年度的工作重点是对地形地貌景观及土地资源进行监测，对复垦植被进行管护。</w:t>
      </w:r>
    </w:p>
    <w:p>
      <w:pPr>
        <w:spacing w:line="360" w:lineRule="auto"/>
        <w:jc w:val="left"/>
        <w:outlineLvl w:val="1"/>
        <w:rPr>
          <w:rFonts w:hint="default" w:ascii="Times New Roman" w:hAnsi="Times New Roman" w:eastAsia="宋体" w:cs="Times New Roman"/>
          <w:b/>
          <w:bCs/>
          <w:color w:val="auto"/>
          <w:sz w:val="32"/>
          <w:szCs w:val="32"/>
          <w:lang w:val="en-US" w:eastAsia="zh-CN"/>
        </w:rPr>
      </w:pPr>
      <w:bookmarkStart w:id="53" w:name="_Toc10123"/>
      <w:bookmarkStart w:id="54" w:name="_Toc13993"/>
      <w:bookmarkStart w:id="55" w:name="_Toc22969"/>
      <w:r>
        <w:rPr>
          <w:rFonts w:hint="default" w:ascii="Times New Roman" w:hAnsi="Times New Roman" w:eastAsia="宋体" w:cs="Times New Roman"/>
          <w:b/>
          <w:bCs/>
          <w:color w:val="auto"/>
          <w:sz w:val="28"/>
          <w:szCs w:val="28"/>
          <w:lang w:val="en-US" w:eastAsia="zh-CN"/>
        </w:rPr>
        <w:t>二、矿山地质环境治理工程</w:t>
      </w:r>
      <w:bookmarkEnd w:id="53"/>
      <w:bookmarkEnd w:id="54"/>
      <w:bookmarkEnd w:id="55"/>
    </w:p>
    <w:p>
      <w:pPr>
        <w:spacing w:after="0" w:line="360" w:lineRule="auto"/>
        <w:ind w:firstLine="480" w:firstLineChars="200"/>
        <w:contextualSpacing/>
        <w:jc w:val="both"/>
        <w:rPr>
          <w:rFonts w:hint="default" w:ascii="Times New Roman" w:hAnsi="Times New Roman" w:eastAsia="宋体" w:cs="Times New Roman"/>
          <w:b w:val="0"/>
          <w:bCs w:val="0"/>
          <w:color w:val="auto"/>
          <w:sz w:val="24"/>
          <w:szCs w:val="24"/>
          <w:lang w:val="en-US" w:eastAsia="zh-CN"/>
        </w:rPr>
      </w:pPr>
      <w:bookmarkStart w:id="56" w:name="_Toc16292"/>
      <w:r>
        <w:rPr>
          <w:rFonts w:hint="eastAsia" w:eastAsia="宋体" w:cs="Times New Roman"/>
          <w:b w:val="0"/>
          <w:bCs w:val="0"/>
          <w:color w:val="auto"/>
          <w:sz w:val="24"/>
          <w:szCs w:val="24"/>
          <w:lang w:val="en-US" w:eastAsia="zh-CN"/>
        </w:rPr>
        <w:t>略。</w:t>
      </w:r>
    </w:p>
    <w:p>
      <w:pPr>
        <w:keepNext w:val="0"/>
        <w:keepLines w:val="0"/>
        <w:pageBreakBefore w:val="0"/>
        <w:widowControl/>
        <w:numPr>
          <w:ilvl w:val="0"/>
          <w:numId w:val="0"/>
        </w:numPr>
        <w:kinsoku/>
        <w:wordWrap/>
        <w:overflowPunct/>
        <w:topLinePunct w:val="0"/>
        <w:autoSpaceDE/>
        <w:autoSpaceDN/>
        <w:bidi w:val="0"/>
        <w:adjustRightInd w:val="0"/>
        <w:snapToGrid w:val="0"/>
        <w:spacing w:before="161" w:beforeLines="50" w:line="360" w:lineRule="auto"/>
        <w:ind w:leftChars="0"/>
        <w:jc w:val="both"/>
        <w:textAlignment w:val="auto"/>
        <w:outlineLvl w:val="1"/>
        <w:rPr>
          <w:rFonts w:hint="default" w:ascii="Times New Roman" w:hAnsi="Times New Roman" w:eastAsia="宋体" w:cs="Times New Roman"/>
          <w:b/>
          <w:bCs/>
          <w:color w:val="auto"/>
          <w:sz w:val="32"/>
          <w:szCs w:val="32"/>
          <w:lang w:val="en-US" w:eastAsia="zh-CN"/>
        </w:rPr>
      </w:pPr>
      <w:bookmarkStart w:id="57" w:name="_Toc10321"/>
      <w:bookmarkStart w:id="58" w:name="_Toc32718"/>
      <w:bookmarkStart w:id="59" w:name="_Toc23661"/>
      <w:r>
        <w:rPr>
          <w:rFonts w:hint="eastAsia" w:ascii="Times New Roman" w:hAnsi="Times New Roman" w:eastAsia="宋体" w:cs="Times New Roman"/>
          <w:b/>
          <w:bCs/>
          <w:color w:val="auto"/>
          <w:sz w:val="28"/>
          <w:szCs w:val="28"/>
          <w:lang w:val="en-US" w:eastAsia="zh-CN"/>
        </w:rPr>
        <w:t>三、</w:t>
      </w:r>
      <w:r>
        <w:rPr>
          <w:rFonts w:hint="default" w:ascii="Times New Roman" w:hAnsi="Times New Roman" w:eastAsia="宋体" w:cs="Times New Roman"/>
          <w:b/>
          <w:bCs/>
          <w:color w:val="auto"/>
          <w:sz w:val="28"/>
          <w:szCs w:val="28"/>
          <w:lang w:val="en-US" w:eastAsia="zh-CN"/>
        </w:rPr>
        <w:t>矿山地质环境监测工程</w:t>
      </w:r>
      <w:bookmarkEnd w:id="56"/>
      <w:bookmarkEnd w:id="57"/>
      <w:bookmarkEnd w:id="58"/>
      <w:bookmarkEnd w:id="59"/>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cs="Times New Roman"/>
          <w:color w:val="auto"/>
          <w:sz w:val="24"/>
        </w:rPr>
      </w:pPr>
      <w:r>
        <w:rPr>
          <w:rFonts w:hint="default" w:ascii="Times New Roman" w:hAnsi="Times New Roman" w:cs="Times New Roman"/>
          <w:color w:val="auto"/>
          <w:sz w:val="24"/>
        </w:rPr>
        <w:t>为了切实加强矿山环境保护，矿山存在的地质环境问题主要有：崩塌地质灾害、地形地貌景观影响及土地资源破坏。</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cs="Times New Roman"/>
          <w:b/>
          <w:color w:val="auto"/>
          <w:sz w:val="24"/>
        </w:rPr>
      </w:pPr>
      <w:r>
        <w:rPr>
          <w:rFonts w:hint="default" w:ascii="Times New Roman" w:hAnsi="Times New Roman" w:eastAsia="宋体" w:cs="Times New Roman"/>
          <w:color w:val="auto"/>
          <w:sz w:val="24"/>
          <w:szCs w:val="24"/>
          <w:lang w:val="en-US" w:eastAsia="zh-CN"/>
        </w:rPr>
        <w:t>由于现状</w:t>
      </w:r>
      <w:r>
        <w:rPr>
          <w:rFonts w:hint="default" w:ascii="Times New Roman" w:hAnsi="Times New Roman" w:eastAsia="宋体" w:cs="Times New Roman"/>
          <w:bCs/>
          <w:color w:val="auto"/>
          <w:sz w:val="24"/>
          <w:szCs w:val="24"/>
        </w:rPr>
        <w:t>赤峰市元宝山区美丽河镇大金沟村建筑用石玄武岩矿</w:t>
      </w:r>
      <w:r>
        <w:rPr>
          <w:rFonts w:hint="default" w:ascii="Times New Roman" w:hAnsi="Times New Roman" w:eastAsia="宋体" w:cs="Times New Roman"/>
          <w:color w:val="auto"/>
          <w:sz w:val="24"/>
          <w:szCs w:val="24"/>
          <w:lang w:val="en-US" w:eastAsia="zh-CN"/>
        </w:rPr>
        <w:t>本年度没有相关的矿山基建建设或生产计划，</w:t>
      </w:r>
      <w:r>
        <w:rPr>
          <w:rFonts w:hint="eastAsia" w:ascii="Times New Roman" w:hAnsi="Times New Roman" w:eastAsia="宋体" w:cs="Times New Roman"/>
          <w:color w:val="auto"/>
          <w:sz w:val="24"/>
          <w:szCs w:val="24"/>
          <w:lang w:val="en-US" w:eastAsia="zh-CN"/>
        </w:rPr>
        <w:t>露天采场将保持现状的稳定状态。</w:t>
      </w:r>
      <w:r>
        <w:rPr>
          <w:rFonts w:hint="default" w:ascii="Times New Roman" w:hAnsi="Times New Roman" w:eastAsia="宋体" w:cs="Times New Roman"/>
          <w:color w:val="auto"/>
          <w:sz w:val="24"/>
          <w:szCs w:val="24"/>
          <w:lang w:val="en-US" w:eastAsia="zh-CN"/>
        </w:rPr>
        <w:t>因此，</w:t>
      </w:r>
      <w:r>
        <w:rPr>
          <w:rFonts w:hint="eastAsia" w:cs="Times New Roman"/>
          <w:color w:val="auto"/>
          <w:kern w:val="2"/>
          <w:sz w:val="24"/>
          <w:szCs w:val="24"/>
          <w:lang w:val="en-US" w:eastAsia="zh-CN" w:bidi="ar"/>
        </w:rPr>
        <w:t>2024</w:t>
      </w:r>
      <w:r>
        <w:rPr>
          <w:rFonts w:hint="default" w:ascii="Times New Roman" w:hAnsi="Times New Roman" w:eastAsia="宋体" w:cs="Times New Roman"/>
          <w:color w:val="auto"/>
          <w:kern w:val="2"/>
          <w:sz w:val="24"/>
          <w:szCs w:val="24"/>
          <w:lang w:val="en-US" w:eastAsia="zh-CN" w:bidi="ar"/>
        </w:rPr>
        <w:t>年</w:t>
      </w:r>
      <w:r>
        <w:rPr>
          <w:rFonts w:hint="default" w:ascii="Times New Roman" w:hAnsi="Times New Roman" w:eastAsia="宋体" w:cs="Times New Roman"/>
          <w:color w:val="auto"/>
          <w:sz w:val="24"/>
          <w:szCs w:val="24"/>
          <w:lang w:val="en-US" w:eastAsia="zh-CN"/>
        </w:rPr>
        <w:t>矿山地质环境监测工程主要为矿区土地资源及地形地貌景观监测。</w:t>
      </w:r>
    </w:p>
    <w:p>
      <w:pPr>
        <w:keepNext w:val="0"/>
        <w:keepLines w:val="0"/>
        <w:pageBreakBefore w:val="0"/>
        <w:widowControl/>
        <w:kinsoku/>
        <w:wordWrap/>
        <w:overflowPunct/>
        <w:topLinePunct w:val="0"/>
        <w:autoSpaceDE/>
        <w:autoSpaceDN/>
        <w:bidi w:val="0"/>
        <w:adjustRightInd/>
        <w:snapToGrid/>
        <w:spacing w:after="0" w:line="360" w:lineRule="auto"/>
        <w:ind w:firstLine="480" w:firstLineChars="200"/>
        <w:contextualSpacing/>
        <w:jc w:val="left"/>
        <w:textAlignment w:val="auto"/>
        <w:rPr>
          <w:color w:val="auto"/>
          <w:sz w:val="24"/>
          <w:highlight w:val="none"/>
        </w:rPr>
      </w:pPr>
      <w:r>
        <w:rPr>
          <w:color w:val="auto"/>
          <w:sz w:val="24"/>
          <w:highlight w:val="none"/>
        </w:rPr>
        <w:t>1、监测内容</w:t>
      </w:r>
    </w:p>
    <w:p>
      <w:pPr>
        <w:pStyle w:val="8"/>
        <w:keepNext w:val="0"/>
        <w:keepLines w:val="0"/>
        <w:pageBreakBefore w:val="0"/>
        <w:widowControl/>
        <w:kinsoku/>
        <w:wordWrap/>
        <w:overflowPunct/>
        <w:topLinePunct w:val="0"/>
        <w:autoSpaceDE/>
        <w:autoSpaceDN/>
        <w:bidi w:val="0"/>
        <w:adjustRightInd/>
        <w:snapToGrid/>
        <w:spacing w:after="0" w:line="360" w:lineRule="auto"/>
        <w:ind w:firstLine="480" w:firstLineChars="200"/>
        <w:jc w:val="left"/>
        <w:textAlignment w:val="auto"/>
        <w:rPr>
          <w:rFonts w:hint="default" w:ascii="Times New Roman" w:hAnsi="Times New Roman" w:cs="Times New Roman"/>
          <w:color w:val="auto"/>
          <w:sz w:val="24"/>
        </w:rPr>
      </w:pPr>
      <w:r>
        <w:rPr>
          <w:color w:val="auto"/>
          <w:sz w:val="24"/>
          <w:highlight w:val="none"/>
        </w:rPr>
        <w:t>为保护采矿必要破坏土地以外土地免受破坏，对评估区内土地资源、地形地貌景观进行监测。</w:t>
      </w:r>
    </w:p>
    <w:p>
      <w:pPr>
        <w:pStyle w:val="8"/>
        <w:keepNext w:val="0"/>
        <w:keepLines w:val="0"/>
        <w:pageBreakBefore w:val="0"/>
        <w:widowControl/>
        <w:kinsoku/>
        <w:wordWrap/>
        <w:overflowPunct/>
        <w:topLinePunct w:val="0"/>
        <w:autoSpaceDE/>
        <w:autoSpaceDN/>
        <w:bidi w:val="0"/>
        <w:spacing w:after="0" w:line="360" w:lineRule="auto"/>
        <w:ind w:firstLine="480" w:firstLineChars="200"/>
        <w:jc w:val="left"/>
        <w:textAlignment w:val="auto"/>
        <w:rPr>
          <w:rFonts w:hint="default" w:ascii="Times New Roman" w:hAnsi="Times New Roman" w:cs="Times New Roman"/>
          <w:color w:val="auto"/>
          <w:sz w:val="24"/>
        </w:rPr>
      </w:pPr>
      <w:r>
        <w:rPr>
          <w:rFonts w:hint="default" w:ascii="Times New Roman" w:hAnsi="Times New Roman" w:cs="Times New Roman"/>
          <w:color w:val="auto"/>
          <w:sz w:val="24"/>
          <w:lang w:val="en-US" w:eastAsia="zh-CN"/>
        </w:rPr>
        <w:t>2</w:t>
      </w:r>
      <w:r>
        <w:rPr>
          <w:rFonts w:hint="default" w:ascii="Times New Roman" w:hAnsi="Times New Roman" w:cs="Times New Roman"/>
          <w:color w:val="auto"/>
          <w:sz w:val="24"/>
        </w:rPr>
        <w:t>、监测方法</w:t>
      </w:r>
    </w:p>
    <w:p>
      <w:pPr>
        <w:pStyle w:val="8"/>
        <w:keepNext w:val="0"/>
        <w:keepLines w:val="0"/>
        <w:pageBreakBefore w:val="0"/>
        <w:widowControl/>
        <w:kinsoku/>
        <w:wordWrap/>
        <w:overflowPunct/>
        <w:topLinePunct w:val="0"/>
        <w:autoSpaceDE/>
        <w:autoSpaceDN/>
        <w:bidi w:val="0"/>
        <w:spacing w:after="0" w:line="360" w:lineRule="auto"/>
        <w:ind w:firstLine="480" w:firstLineChars="200"/>
        <w:jc w:val="left"/>
        <w:textAlignment w:val="auto"/>
        <w:rPr>
          <w:rFonts w:hint="default" w:ascii="Times New Roman" w:hAnsi="Times New Roman" w:cs="Times New Roman"/>
          <w:color w:val="auto"/>
          <w:sz w:val="24"/>
        </w:rPr>
      </w:pPr>
      <w:r>
        <w:rPr>
          <w:color w:val="auto"/>
          <w:sz w:val="24"/>
          <w:highlight w:val="none"/>
        </w:rPr>
        <w:t>采用目测及拍照摄像相结合的方式，采用路线法，设计</w:t>
      </w:r>
      <w:r>
        <w:rPr>
          <w:rFonts w:hint="eastAsia"/>
          <w:color w:val="auto"/>
          <w:sz w:val="24"/>
          <w:highlight w:val="none"/>
          <w:lang w:val="en-US" w:eastAsia="zh-CN"/>
        </w:rPr>
        <w:t>1</w:t>
      </w:r>
      <w:r>
        <w:rPr>
          <w:color w:val="auto"/>
          <w:sz w:val="24"/>
          <w:highlight w:val="none"/>
        </w:rPr>
        <w:t>条监测路线，</w:t>
      </w:r>
      <w:r>
        <w:rPr>
          <w:rFonts w:hint="eastAsia"/>
          <w:color w:val="auto"/>
          <w:sz w:val="24"/>
          <w:highlight w:val="none"/>
          <w:lang w:eastAsia="zh-CN"/>
        </w:rPr>
        <w:t>合计</w:t>
      </w:r>
      <w:r>
        <w:rPr>
          <w:rFonts w:hint="default" w:ascii="Times New Roman" w:hAnsi="Times New Roman" w:cs="Times New Roman"/>
          <w:color w:val="auto"/>
          <w:sz w:val="24"/>
        </w:rPr>
        <w:t>路线长度</w:t>
      </w:r>
      <w:r>
        <w:rPr>
          <w:rFonts w:hint="eastAsia" w:ascii="Times New Roman" w:hAnsi="Times New Roman" w:cs="Times New Roman"/>
          <w:color w:val="auto"/>
          <w:sz w:val="24"/>
          <w:lang w:eastAsia="zh-CN"/>
        </w:rPr>
        <w:t>约</w:t>
      </w:r>
      <w:r>
        <w:rPr>
          <w:rFonts w:hint="eastAsia" w:cs="Times New Roman"/>
          <w:color w:val="auto"/>
          <w:sz w:val="24"/>
          <w:highlight w:val="none"/>
          <w:lang w:val="en-US" w:eastAsia="zh-CN"/>
        </w:rPr>
        <w:t>1.8</w:t>
      </w:r>
      <w:r>
        <w:rPr>
          <w:rFonts w:hint="default" w:ascii="Times New Roman" w:hAnsi="Times New Roman" w:cs="Times New Roman"/>
          <w:color w:val="auto"/>
          <w:sz w:val="24"/>
          <w:highlight w:val="none"/>
        </w:rPr>
        <w:t>km，</w:t>
      </w:r>
      <w:r>
        <w:rPr>
          <w:color w:val="auto"/>
          <w:sz w:val="24"/>
          <w:highlight w:val="none"/>
        </w:rPr>
        <w:t>对工程场地的外观表现特征参数进行监测，对各区破坏的土地类型进行实地调查。</w:t>
      </w:r>
    </w:p>
    <w:p>
      <w:pPr>
        <w:pStyle w:val="8"/>
        <w:keepNext w:val="0"/>
        <w:keepLines w:val="0"/>
        <w:pageBreakBefore w:val="0"/>
        <w:widowControl/>
        <w:kinsoku/>
        <w:wordWrap/>
        <w:overflowPunct/>
        <w:topLinePunct w:val="0"/>
        <w:autoSpaceDE/>
        <w:autoSpaceDN/>
        <w:bidi w:val="0"/>
        <w:spacing w:after="0" w:line="360" w:lineRule="auto"/>
        <w:ind w:firstLine="480" w:firstLineChars="200"/>
        <w:jc w:val="left"/>
        <w:textAlignment w:val="auto"/>
        <w:rPr>
          <w:rFonts w:hint="default" w:ascii="Times New Roman" w:hAnsi="Times New Roman" w:cs="Times New Roman"/>
          <w:color w:val="auto"/>
          <w:sz w:val="24"/>
        </w:rPr>
      </w:pPr>
      <w:r>
        <w:rPr>
          <w:rFonts w:hint="default" w:ascii="Times New Roman" w:hAnsi="Times New Roman" w:cs="Times New Roman"/>
          <w:color w:val="auto"/>
          <w:sz w:val="24"/>
          <w:lang w:val="en-US" w:eastAsia="zh-CN"/>
        </w:rPr>
        <w:t>3</w:t>
      </w:r>
      <w:r>
        <w:rPr>
          <w:rFonts w:hint="default" w:ascii="Times New Roman" w:hAnsi="Times New Roman" w:cs="Times New Roman"/>
          <w:color w:val="auto"/>
          <w:sz w:val="24"/>
        </w:rPr>
        <w:t>、监测频率</w:t>
      </w:r>
    </w:p>
    <w:p>
      <w:pPr>
        <w:pStyle w:val="8"/>
        <w:keepNext w:val="0"/>
        <w:keepLines w:val="0"/>
        <w:pageBreakBefore w:val="0"/>
        <w:widowControl/>
        <w:kinsoku/>
        <w:wordWrap/>
        <w:overflowPunct/>
        <w:topLinePunct w:val="0"/>
        <w:autoSpaceDE/>
        <w:autoSpaceDN/>
        <w:bidi w:val="0"/>
        <w:spacing w:after="0" w:line="360" w:lineRule="auto"/>
        <w:ind w:firstLine="480" w:firstLineChars="200"/>
        <w:jc w:val="left"/>
        <w:textAlignment w:val="auto"/>
        <w:rPr>
          <w:rFonts w:hint="default" w:ascii="Times New Roman" w:hAnsi="Times New Roman" w:cs="Times New Roman"/>
          <w:color w:val="auto"/>
          <w:sz w:val="24"/>
        </w:rPr>
      </w:pPr>
      <w:r>
        <w:rPr>
          <w:color w:val="auto"/>
          <w:sz w:val="24"/>
          <w:highlight w:val="none"/>
        </w:rPr>
        <w:t>每月目测1次，每年对场地占用情况进行一次仪器测量并拍照摄像</w:t>
      </w:r>
      <w:r>
        <w:rPr>
          <w:rFonts w:hint="default" w:ascii="Times New Roman" w:hAnsi="Times New Roman" w:cs="Times New Roman"/>
          <w:bCs/>
          <w:color w:val="auto"/>
          <w:sz w:val="24"/>
        </w:rPr>
        <w:t>。</w:t>
      </w:r>
    </w:p>
    <w:p>
      <w:pPr>
        <w:pStyle w:val="8"/>
        <w:keepNext w:val="0"/>
        <w:keepLines w:val="0"/>
        <w:pageBreakBefore w:val="0"/>
        <w:widowControl/>
        <w:kinsoku/>
        <w:wordWrap/>
        <w:overflowPunct/>
        <w:topLinePunct w:val="0"/>
        <w:autoSpaceDE/>
        <w:autoSpaceDN/>
        <w:bidi w:val="0"/>
        <w:spacing w:after="0" w:line="360" w:lineRule="auto"/>
        <w:ind w:firstLine="480" w:firstLineChars="200"/>
        <w:jc w:val="left"/>
        <w:textAlignment w:val="auto"/>
        <w:rPr>
          <w:rFonts w:hint="default" w:ascii="Times New Roman" w:hAnsi="Times New Roman" w:cs="Times New Roman"/>
          <w:color w:val="auto"/>
          <w:sz w:val="24"/>
        </w:rPr>
      </w:pPr>
      <w:r>
        <w:rPr>
          <w:rFonts w:hint="eastAsia" w:ascii="Times New Roman" w:hAnsi="Times New Roman" w:cs="Times New Roman"/>
          <w:color w:val="auto"/>
          <w:sz w:val="24"/>
          <w:lang w:val="en-US" w:eastAsia="zh-CN"/>
        </w:rPr>
        <w:t>4</w:t>
      </w:r>
      <w:r>
        <w:rPr>
          <w:rFonts w:hint="default" w:ascii="Times New Roman" w:hAnsi="Times New Roman" w:cs="Times New Roman"/>
          <w:color w:val="auto"/>
          <w:sz w:val="24"/>
        </w:rPr>
        <w:t>、监测时限</w:t>
      </w:r>
    </w:p>
    <w:p>
      <w:pPr>
        <w:pStyle w:val="8"/>
        <w:keepNext w:val="0"/>
        <w:keepLines w:val="0"/>
        <w:pageBreakBefore w:val="0"/>
        <w:widowControl/>
        <w:kinsoku/>
        <w:wordWrap/>
        <w:overflowPunct/>
        <w:topLinePunct w:val="0"/>
        <w:autoSpaceDE/>
        <w:autoSpaceDN/>
        <w:bidi w:val="0"/>
        <w:spacing w:after="0" w:line="360" w:lineRule="auto"/>
        <w:ind w:firstLine="480" w:firstLineChars="200"/>
        <w:jc w:val="left"/>
        <w:textAlignment w:val="auto"/>
        <w:rPr>
          <w:rFonts w:hint="default" w:ascii="Times New Roman" w:hAnsi="Times New Roman" w:cs="Times New Roman"/>
          <w:color w:val="auto"/>
          <w:sz w:val="24"/>
        </w:rPr>
      </w:pPr>
      <w:r>
        <w:rPr>
          <w:rFonts w:hint="eastAsia" w:ascii="Times New Roman" w:hAnsi="Times New Roman" w:cs="Times New Roman"/>
          <w:color w:val="auto"/>
          <w:sz w:val="24"/>
          <w:lang w:eastAsia="zh-CN"/>
        </w:rPr>
        <w:t>自</w:t>
      </w:r>
      <w:r>
        <w:rPr>
          <w:rFonts w:hint="default" w:ascii="Times New Roman" w:hAnsi="Times New Roman" w:cs="Times New Roman"/>
          <w:color w:val="auto"/>
          <w:sz w:val="24"/>
          <w:lang w:eastAsia="zh-CN"/>
        </w:rPr>
        <w:t>202</w:t>
      </w:r>
      <w:r>
        <w:rPr>
          <w:rFonts w:hint="eastAsia" w:cs="Times New Roman"/>
          <w:color w:val="auto"/>
          <w:sz w:val="24"/>
          <w:lang w:val="en-US" w:eastAsia="zh-CN"/>
        </w:rPr>
        <w:t>4</w:t>
      </w:r>
      <w:r>
        <w:rPr>
          <w:rFonts w:hint="default" w:ascii="Times New Roman" w:hAnsi="Times New Roman" w:cs="Times New Roman"/>
          <w:color w:val="auto"/>
          <w:sz w:val="24"/>
          <w:lang w:eastAsia="zh-CN"/>
        </w:rPr>
        <w:t>年</w:t>
      </w:r>
      <w:r>
        <w:rPr>
          <w:rFonts w:hint="eastAsia" w:ascii="Times New Roman" w:hAnsi="Times New Roman" w:cs="Times New Roman"/>
          <w:color w:val="auto"/>
          <w:sz w:val="24"/>
          <w:lang w:val="en-US" w:eastAsia="zh-CN"/>
        </w:rPr>
        <w:t>1</w:t>
      </w:r>
      <w:r>
        <w:rPr>
          <w:rFonts w:hint="default" w:ascii="Times New Roman" w:hAnsi="Times New Roman" w:cs="Times New Roman"/>
          <w:color w:val="auto"/>
          <w:sz w:val="24"/>
          <w:lang w:eastAsia="zh-CN"/>
        </w:rPr>
        <w:t>月1日～20</w:t>
      </w:r>
      <w:r>
        <w:rPr>
          <w:rFonts w:hint="eastAsia" w:cs="Times New Roman"/>
          <w:color w:val="auto"/>
          <w:sz w:val="24"/>
          <w:lang w:val="en-US" w:eastAsia="zh-CN"/>
        </w:rPr>
        <w:t>24</w:t>
      </w:r>
      <w:r>
        <w:rPr>
          <w:rFonts w:hint="default" w:ascii="Times New Roman" w:hAnsi="Times New Roman" w:cs="Times New Roman"/>
          <w:color w:val="auto"/>
          <w:sz w:val="24"/>
          <w:lang w:eastAsia="zh-CN"/>
        </w:rPr>
        <w:t>年</w:t>
      </w:r>
      <w:r>
        <w:rPr>
          <w:rFonts w:hint="eastAsia" w:ascii="Times New Roman" w:hAnsi="Times New Roman" w:cs="Times New Roman"/>
          <w:color w:val="auto"/>
          <w:sz w:val="24"/>
          <w:lang w:val="en-US" w:eastAsia="zh-CN"/>
        </w:rPr>
        <w:t>12</w:t>
      </w:r>
      <w:r>
        <w:rPr>
          <w:rFonts w:hint="default" w:ascii="Times New Roman" w:hAnsi="Times New Roman" w:cs="Times New Roman"/>
          <w:color w:val="auto"/>
          <w:sz w:val="24"/>
          <w:lang w:eastAsia="zh-CN"/>
        </w:rPr>
        <w:t>月3</w:t>
      </w:r>
      <w:r>
        <w:rPr>
          <w:rFonts w:hint="eastAsia" w:ascii="Times New Roman" w:hAnsi="Times New Roman" w:cs="Times New Roman"/>
          <w:color w:val="auto"/>
          <w:sz w:val="24"/>
          <w:lang w:val="en-US" w:eastAsia="zh-CN"/>
        </w:rPr>
        <w:t>1</w:t>
      </w:r>
      <w:r>
        <w:rPr>
          <w:rFonts w:hint="default" w:ascii="Times New Roman" w:hAnsi="Times New Roman" w:cs="Times New Roman"/>
          <w:color w:val="auto"/>
          <w:sz w:val="24"/>
          <w:lang w:eastAsia="zh-CN"/>
        </w:rPr>
        <w:t>日</w:t>
      </w:r>
      <w:r>
        <w:rPr>
          <w:rFonts w:hint="default" w:ascii="Times New Roman" w:hAnsi="Times New Roman" w:cs="Times New Roman"/>
          <w:color w:val="auto"/>
          <w:sz w:val="24"/>
        </w:rPr>
        <w:t>。</w:t>
      </w:r>
    </w:p>
    <w:p>
      <w:pPr>
        <w:keepNext w:val="0"/>
        <w:keepLines w:val="0"/>
        <w:pageBreakBefore w:val="0"/>
        <w:widowControl/>
        <w:kinsoku/>
        <w:wordWrap/>
        <w:overflowPunct/>
        <w:topLinePunct w:val="0"/>
        <w:autoSpaceDE/>
        <w:autoSpaceDN/>
        <w:bidi w:val="0"/>
        <w:spacing w:after="0" w:line="360" w:lineRule="auto"/>
        <w:ind w:firstLine="480" w:firstLineChars="200"/>
        <w:contextualSpacing/>
        <w:jc w:val="left"/>
        <w:textAlignment w:val="auto"/>
        <w:rPr>
          <w:rFonts w:hint="default" w:ascii="Times New Roman" w:hAnsi="Times New Roman" w:eastAsia="宋体" w:cs="Times New Roman"/>
          <w:b w:val="0"/>
          <w:bCs/>
          <w:color w:val="auto"/>
          <w:sz w:val="24"/>
          <w:szCs w:val="24"/>
          <w:lang w:val="en-US" w:eastAsia="zh-CN"/>
        </w:rPr>
      </w:pPr>
      <w:r>
        <w:rPr>
          <w:rFonts w:hint="eastAsia" w:ascii="Times New Roman" w:hAnsi="Times New Roman" w:cs="Times New Roman"/>
          <w:b w:val="0"/>
          <w:bCs/>
          <w:color w:val="auto"/>
          <w:sz w:val="24"/>
          <w:szCs w:val="24"/>
          <w:lang w:eastAsia="zh-CN"/>
        </w:rPr>
        <w:t>监测记录表见表</w:t>
      </w:r>
      <w:r>
        <w:rPr>
          <w:rFonts w:hint="eastAsia" w:cs="Times New Roman"/>
          <w:b w:val="0"/>
          <w:bCs/>
          <w:color w:val="auto"/>
          <w:sz w:val="24"/>
          <w:szCs w:val="24"/>
          <w:lang w:val="en-US" w:eastAsia="zh-CN"/>
        </w:rPr>
        <w:t>5-1</w:t>
      </w:r>
      <w:r>
        <w:rPr>
          <w:rFonts w:hint="eastAsia" w:ascii="Times New Roman" w:hAnsi="Times New Roman" w:cs="Times New Roman"/>
          <w:b w:val="0"/>
          <w:bCs/>
          <w:color w:val="auto"/>
          <w:sz w:val="24"/>
          <w:szCs w:val="24"/>
          <w:lang w:val="en-US" w:eastAsia="zh-CN"/>
        </w:rPr>
        <w:t>。</w:t>
      </w:r>
    </w:p>
    <w:p>
      <w:pPr>
        <w:keepNext w:val="0"/>
        <w:keepLines w:val="0"/>
        <w:pageBreakBefore w:val="0"/>
        <w:widowControl/>
        <w:kinsoku/>
        <w:wordWrap/>
        <w:overflowPunct/>
        <w:topLinePunct w:val="0"/>
        <w:autoSpaceDE/>
        <w:autoSpaceDN/>
        <w:bidi w:val="0"/>
        <w:adjustRightInd/>
        <w:snapToGrid/>
        <w:spacing w:after="0" w:line="360" w:lineRule="auto"/>
        <w:contextualSpacing/>
        <w:jc w:val="center"/>
        <w:textAlignment w:val="auto"/>
        <w:rPr>
          <w:rFonts w:hint="eastAsia" w:ascii="黑体" w:hAnsi="黑体" w:eastAsia="黑体" w:cs="黑体"/>
          <w:bCs/>
          <w:color w:val="auto"/>
          <w:sz w:val="24"/>
          <w:highlight w:val="none"/>
        </w:rPr>
      </w:pPr>
      <w:r>
        <w:rPr>
          <w:rFonts w:hint="eastAsia" w:ascii="黑体" w:hAnsi="黑体" w:eastAsia="黑体" w:cs="黑体"/>
          <w:bCs/>
          <w:color w:val="auto"/>
          <w:sz w:val="24"/>
          <w:highlight w:val="none"/>
        </w:rPr>
        <w:t>表</w:t>
      </w:r>
      <w:r>
        <w:rPr>
          <w:rFonts w:hint="eastAsia" w:ascii="黑体" w:hAnsi="黑体" w:eastAsia="黑体" w:cs="黑体"/>
          <w:bCs/>
          <w:color w:val="auto"/>
          <w:sz w:val="24"/>
          <w:highlight w:val="none"/>
          <w:lang w:val="en-US" w:eastAsia="zh-CN"/>
        </w:rPr>
        <w:t>5-1</w:t>
      </w:r>
      <w:r>
        <w:rPr>
          <w:rFonts w:hint="eastAsia" w:ascii="黑体" w:hAnsi="黑体" w:eastAsia="黑体" w:cs="黑体"/>
          <w:bCs/>
          <w:color w:val="auto"/>
          <w:sz w:val="24"/>
          <w:highlight w:val="none"/>
        </w:rPr>
        <w:t xml:space="preserve">  地形地貌景观及土地资源监测记录表</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211" w:firstLineChars="100"/>
        <w:jc w:val="both"/>
        <w:textAlignment w:val="auto"/>
        <w:rPr>
          <w:b/>
          <w:color w:val="auto"/>
          <w:sz w:val="21"/>
          <w:szCs w:val="21"/>
          <w:highlight w:val="none"/>
        </w:rPr>
      </w:pPr>
      <w:r>
        <w:rPr>
          <w:b/>
          <w:color w:val="auto"/>
          <w:sz w:val="21"/>
          <w:szCs w:val="21"/>
          <w:highlight w:val="none"/>
        </w:rPr>
        <w:t xml:space="preserve">时间：  </w:t>
      </w:r>
      <w:r>
        <w:rPr>
          <w:rFonts w:hint="eastAsia"/>
          <w:b/>
          <w:color w:val="auto"/>
          <w:sz w:val="21"/>
          <w:szCs w:val="21"/>
          <w:highlight w:val="none"/>
          <w:lang w:val="en-US" w:eastAsia="zh-CN"/>
        </w:rPr>
        <w:t xml:space="preserve">  </w:t>
      </w:r>
      <w:r>
        <w:rPr>
          <w:rFonts w:hint="eastAsia"/>
          <w:b/>
          <w:color w:val="auto"/>
          <w:sz w:val="21"/>
          <w:szCs w:val="21"/>
          <w:highlight w:val="none"/>
        </w:rPr>
        <w:t xml:space="preserve"> </w:t>
      </w:r>
      <w:r>
        <w:rPr>
          <w:b/>
          <w:color w:val="auto"/>
          <w:sz w:val="21"/>
          <w:szCs w:val="21"/>
          <w:highlight w:val="none"/>
        </w:rPr>
        <w:t xml:space="preserve">年  </w:t>
      </w:r>
      <w:r>
        <w:rPr>
          <w:rFonts w:hint="eastAsia"/>
          <w:b/>
          <w:color w:val="auto"/>
          <w:sz w:val="21"/>
          <w:szCs w:val="21"/>
          <w:highlight w:val="none"/>
          <w:lang w:val="en-US" w:eastAsia="zh-CN"/>
        </w:rPr>
        <w:t xml:space="preserve">  </w:t>
      </w:r>
      <w:r>
        <w:rPr>
          <w:b/>
          <w:color w:val="auto"/>
          <w:sz w:val="21"/>
          <w:szCs w:val="21"/>
          <w:highlight w:val="none"/>
        </w:rPr>
        <w:t xml:space="preserve"> 月   </w:t>
      </w:r>
      <w:r>
        <w:rPr>
          <w:rFonts w:hint="eastAsia"/>
          <w:b/>
          <w:color w:val="auto"/>
          <w:sz w:val="21"/>
          <w:szCs w:val="21"/>
          <w:highlight w:val="none"/>
          <w:lang w:val="en-US" w:eastAsia="zh-CN"/>
        </w:rPr>
        <w:t xml:space="preserve">  </w:t>
      </w:r>
      <w:r>
        <w:rPr>
          <w:b/>
          <w:color w:val="auto"/>
          <w:sz w:val="21"/>
          <w:szCs w:val="21"/>
          <w:highlight w:val="none"/>
        </w:rPr>
        <w:t xml:space="preserve">日     </w:t>
      </w:r>
      <w:r>
        <w:rPr>
          <w:rFonts w:hint="eastAsia"/>
          <w:b/>
          <w:color w:val="auto"/>
          <w:sz w:val="21"/>
          <w:szCs w:val="21"/>
          <w:highlight w:val="none"/>
          <w:lang w:val="en-US" w:eastAsia="zh-CN"/>
        </w:rPr>
        <w:t xml:space="preserve">                    </w:t>
      </w:r>
      <w:r>
        <w:rPr>
          <w:b/>
          <w:color w:val="auto"/>
          <w:sz w:val="21"/>
          <w:szCs w:val="21"/>
          <w:highlight w:val="none"/>
        </w:rPr>
        <w:t xml:space="preserve">  星期     天气：</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863"/>
        <w:gridCol w:w="1270"/>
        <w:gridCol w:w="52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2913" w:type="dxa"/>
            <w:gridSpan w:val="3"/>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firstLine="42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监测单元</w:t>
            </w:r>
          </w:p>
        </w:tc>
        <w:tc>
          <w:tcPr>
            <w:tcW w:w="5235"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firstLine="420"/>
              <w:textAlignment w:val="auto"/>
              <w:rPr>
                <w:rFonts w:hint="default" w:ascii="Times New Roman" w:hAnsi="Times New Roman" w:cs="Times New Roman"/>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780" w:type="dxa"/>
            <w:vMerge w:val="restart"/>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监测内容</w:t>
            </w:r>
          </w:p>
        </w:tc>
        <w:tc>
          <w:tcPr>
            <w:tcW w:w="2133" w:type="dxa"/>
            <w:gridSpan w:val="2"/>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损毁土地面积（m</w:t>
            </w:r>
            <w:r>
              <w:rPr>
                <w:rFonts w:hint="default" w:ascii="Times New Roman" w:hAnsi="Times New Roman" w:cs="Times New Roman"/>
                <w:color w:val="auto"/>
                <w:sz w:val="21"/>
                <w:szCs w:val="21"/>
                <w:highlight w:val="none"/>
                <w:vertAlign w:val="superscript"/>
              </w:rPr>
              <w:t>2</w:t>
            </w:r>
            <w:r>
              <w:rPr>
                <w:rFonts w:hint="default" w:ascii="Times New Roman" w:hAnsi="Times New Roman" w:cs="Times New Roman"/>
                <w:color w:val="auto"/>
                <w:sz w:val="21"/>
                <w:szCs w:val="21"/>
                <w:highlight w:val="none"/>
              </w:rPr>
              <w:t>）</w:t>
            </w:r>
          </w:p>
        </w:tc>
        <w:tc>
          <w:tcPr>
            <w:tcW w:w="5235"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7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firstLine="420"/>
              <w:jc w:val="center"/>
              <w:textAlignment w:val="auto"/>
              <w:rPr>
                <w:rFonts w:hint="default" w:ascii="Times New Roman" w:hAnsi="Times New Roman" w:cs="Times New Roman"/>
                <w:color w:val="auto"/>
                <w:sz w:val="21"/>
                <w:szCs w:val="21"/>
                <w:highlight w:val="none"/>
              </w:rPr>
            </w:pPr>
          </w:p>
        </w:tc>
        <w:tc>
          <w:tcPr>
            <w:tcW w:w="2133" w:type="dxa"/>
            <w:gridSpan w:val="2"/>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破坏土地利用类型</w:t>
            </w:r>
          </w:p>
        </w:tc>
        <w:tc>
          <w:tcPr>
            <w:tcW w:w="5235"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7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firstLine="420"/>
              <w:jc w:val="center"/>
              <w:textAlignment w:val="auto"/>
              <w:rPr>
                <w:rFonts w:hint="default" w:ascii="Times New Roman" w:hAnsi="Times New Roman" w:cs="Times New Roman"/>
                <w:color w:val="auto"/>
                <w:sz w:val="21"/>
                <w:szCs w:val="21"/>
                <w:highlight w:val="none"/>
              </w:rPr>
            </w:pPr>
          </w:p>
        </w:tc>
        <w:tc>
          <w:tcPr>
            <w:tcW w:w="2133" w:type="dxa"/>
            <w:gridSpan w:val="2"/>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损毁方式</w:t>
            </w:r>
          </w:p>
        </w:tc>
        <w:tc>
          <w:tcPr>
            <w:tcW w:w="5235"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7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firstLine="420"/>
              <w:jc w:val="center"/>
              <w:textAlignment w:val="auto"/>
              <w:rPr>
                <w:rFonts w:hint="default" w:ascii="Times New Roman" w:hAnsi="Times New Roman" w:cs="Times New Roman"/>
                <w:color w:val="auto"/>
                <w:sz w:val="21"/>
                <w:szCs w:val="21"/>
                <w:highlight w:val="none"/>
              </w:rPr>
            </w:pPr>
          </w:p>
        </w:tc>
        <w:tc>
          <w:tcPr>
            <w:tcW w:w="2133" w:type="dxa"/>
            <w:gridSpan w:val="2"/>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损毁程度</w:t>
            </w:r>
          </w:p>
        </w:tc>
        <w:tc>
          <w:tcPr>
            <w:tcW w:w="5235"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7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firstLine="420"/>
              <w:jc w:val="center"/>
              <w:textAlignment w:val="auto"/>
              <w:rPr>
                <w:rFonts w:hint="default" w:ascii="Times New Roman" w:hAnsi="Times New Roman" w:cs="Times New Roman"/>
                <w:color w:val="auto"/>
                <w:sz w:val="21"/>
                <w:szCs w:val="21"/>
                <w:highlight w:val="none"/>
              </w:rPr>
            </w:pPr>
          </w:p>
        </w:tc>
        <w:tc>
          <w:tcPr>
            <w:tcW w:w="2133" w:type="dxa"/>
            <w:gridSpan w:val="2"/>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治理难度</w:t>
            </w:r>
          </w:p>
        </w:tc>
        <w:tc>
          <w:tcPr>
            <w:tcW w:w="5235"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2913" w:type="dxa"/>
            <w:gridSpan w:val="3"/>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firstLine="42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监测人员</w:t>
            </w:r>
          </w:p>
        </w:tc>
        <w:tc>
          <w:tcPr>
            <w:tcW w:w="5235"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firstLine="420"/>
              <w:textAlignment w:val="auto"/>
              <w:rPr>
                <w:rFonts w:hint="default" w:ascii="Times New Roman" w:hAnsi="Times New Roman" w:cs="Times New Roman"/>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8148" w:type="dxa"/>
            <w:gridSpan w:val="4"/>
            <w:tcBorders>
              <w:top w:val="nil"/>
              <w:bottom w:val="nil"/>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color w:val="auto"/>
              </w:rPr>
            </w:pPr>
          </w:p>
          <w:p>
            <w:pPr>
              <w:pStyle w:val="2"/>
              <w:rPr>
                <w:rFonts w:hint="default"/>
                <w:color w:val="auto"/>
              </w:rPr>
            </w:pPr>
          </w:p>
          <w:p>
            <w:pPr>
              <w:pStyle w:val="2"/>
              <w:rPr>
                <w:rFonts w:hint="default"/>
                <w:color w:val="auto"/>
              </w:rPr>
            </w:pPr>
          </w:p>
          <w:p>
            <w:pPr>
              <w:pStyle w:val="2"/>
              <w:rPr>
                <w:rFonts w:hint="default" w:ascii="Times New Roman" w:hAnsi="Times New Roman" w:cs="Times New Roman"/>
                <w:color w:val="auto"/>
                <w:sz w:val="21"/>
                <w:szCs w:val="21"/>
                <w:highlight w:val="none"/>
              </w:rPr>
            </w:pPr>
          </w:p>
          <w:p>
            <w:pPr>
              <w:pStyle w:val="2"/>
              <w:rPr>
                <w:rFonts w:hint="default" w:ascii="Times New Roman" w:hAnsi="Times New Roman" w:cs="Times New Roman"/>
                <w:color w:val="auto"/>
                <w:sz w:val="21"/>
                <w:szCs w:val="21"/>
                <w:highlight w:val="none"/>
              </w:rPr>
            </w:pPr>
          </w:p>
          <w:p>
            <w:pPr>
              <w:pStyle w:val="2"/>
              <w:rPr>
                <w:rFonts w:hint="default" w:ascii="Times New Roman" w:hAnsi="Times New Roman" w:cs="Times New Roman"/>
                <w:color w:val="auto"/>
                <w:sz w:val="21"/>
                <w:szCs w:val="21"/>
                <w:highlight w:val="none"/>
              </w:rPr>
            </w:pPr>
          </w:p>
          <w:p>
            <w:pPr>
              <w:pStyle w:val="2"/>
              <w:rPr>
                <w:rFonts w:hint="default" w:ascii="Times New Roman" w:hAnsi="Times New Roman" w:cs="Times New Roman"/>
                <w:color w:val="auto"/>
                <w:sz w:val="21"/>
                <w:szCs w:val="21"/>
                <w:highlight w:val="none"/>
              </w:rPr>
            </w:pPr>
          </w:p>
          <w:p>
            <w:pPr>
              <w:pStyle w:val="2"/>
              <w:rPr>
                <w:rFonts w:hint="default" w:ascii="Times New Roman" w:hAnsi="Times New Roman" w:cs="Times New Roman"/>
                <w:color w:val="auto"/>
                <w:sz w:val="21"/>
                <w:szCs w:val="21"/>
                <w:highlight w:val="none"/>
              </w:rPr>
            </w:pPr>
          </w:p>
          <w:p>
            <w:pPr>
              <w:pStyle w:val="2"/>
              <w:rPr>
                <w:rFonts w:hint="default" w:ascii="Times New Roman" w:hAnsi="Times New Roman" w:cs="Times New Roman"/>
                <w:color w:val="auto"/>
                <w:sz w:val="21"/>
                <w:szCs w:val="21"/>
                <w:highlight w:val="none"/>
              </w:rPr>
            </w:pPr>
          </w:p>
          <w:p>
            <w:pPr>
              <w:pStyle w:val="2"/>
              <w:rPr>
                <w:rFonts w:hint="default" w:ascii="Times New Roman" w:hAnsi="Times New Roman" w:cs="Times New Roman"/>
                <w:color w:val="auto"/>
                <w:sz w:val="21"/>
                <w:szCs w:val="21"/>
                <w:highlight w:val="none"/>
              </w:rPr>
            </w:pPr>
          </w:p>
          <w:p>
            <w:pPr>
              <w:pStyle w:val="2"/>
              <w:rPr>
                <w:rFonts w:hint="default" w:ascii="Times New Roman" w:hAnsi="Times New Roman" w:cs="Times New Roman"/>
                <w:color w:val="auto"/>
                <w:sz w:val="21"/>
                <w:szCs w:val="21"/>
                <w:highlight w:val="none"/>
              </w:rPr>
            </w:pPr>
          </w:p>
          <w:p>
            <w:pPr>
              <w:pStyle w:val="2"/>
              <w:rPr>
                <w:rFonts w:hint="default" w:ascii="Times New Roman" w:hAnsi="Times New Roman" w:cs="Times New Roman"/>
                <w:color w:val="auto"/>
                <w:sz w:val="21"/>
                <w:szCs w:val="21"/>
                <w:highlight w:val="none"/>
              </w:rPr>
            </w:pPr>
          </w:p>
          <w:p>
            <w:pPr>
              <w:pStyle w:val="2"/>
              <w:rPr>
                <w:rFonts w:hint="default" w:ascii="Times New Roman" w:hAnsi="Times New Roman" w:cs="Times New Roman"/>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1643" w:type="dxa"/>
            <w:gridSpan w:val="2"/>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存在问题</w:t>
            </w:r>
          </w:p>
        </w:tc>
        <w:tc>
          <w:tcPr>
            <w:tcW w:w="6505" w:type="dxa"/>
            <w:gridSpan w:val="2"/>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firstLine="420"/>
              <w:textAlignment w:val="auto"/>
              <w:rPr>
                <w:rFonts w:hint="default" w:ascii="Times New Roman" w:hAnsi="Times New Roman" w:cs="Times New Roman"/>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1643" w:type="dxa"/>
            <w:gridSpan w:val="2"/>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处理意见</w:t>
            </w:r>
          </w:p>
        </w:tc>
        <w:tc>
          <w:tcPr>
            <w:tcW w:w="6505" w:type="dxa"/>
            <w:gridSpan w:val="2"/>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firstLine="420"/>
              <w:textAlignment w:val="auto"/>
              <w:rPr>
                <w:rFonts w:hint="default" w:ascii="Times New Roman" w:hAnsi="Times New Roman" w:cs="Times New Roman"/>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1643" w:type="dxa"/>
            <w:gridSpan w:val="2"/>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处理结果</w:t>
            </w:r>
          </w:p>
        </w:tc>
        <w:tc>
          <w:tcPr>
            <w:tcW w:w="6505" w:type="dxa"/>
            <w:gridSpan w:val="2"/>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firstLine="420"/>
              <w:textAlignment w:val="auto"/>
              <w:rPr>
                <w:rFonts w:hint="default" w:ascii="Times New Roman" w:hAnsi="Times New Roman" w:cs="Times New Roman"/>
                <w:color w:val="auto"/>
                <w:sz w:val="21"/>
                <w:szCs w:val="21"/>
                <w:highlight w:val="none"/>
              </w:rPr>
            </w:pPr>
          </w:p>
        </w:tc>
      </w:tr>
    </w:tbl>
    <w:p>
      <w:pPr>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br w:type="page"/>
      </w:r>
    </w:p>
    <w:p>
      <w:pPr>
        <w:numPr>
          <w:ilvl w:val="0"/>
          <w:numId w:val="0"/>
        </w:numPr>
        <w:spacing w:line="360" w:lineRule="auto"/>
        <w:ind w:leftChars="0"/>
        <w:jc w:val="center"/>
        <w:outlineLvl w:val="0"/>
        <w:rPr>
          <w:rFonts w:hint="default" w:ascii="Times New Roman" w:hAnsi="Times New Roman" w:eastAsia="宋体" w:cs="Times New Roman"/>
          <w:b/>
          <w:bCs/>
          <w:color w:val="auto"/>
          <w:sz w:val="36"/>
          <w:szCs w:val="36"/>
          <w:lang w:val="en-US" w:eastAsia="zh-CN"/>
        </w:rPr>
      </w:pPr>
      <w:bookmarkStart w:id="60" w:name="_Toc20145"/>
      <w:bookmarkStart w:id="61" w:name="_Toc16528"/>
      <w:bookmarkStart w:id="62" w:name="_Toc23006"/>
      <w:bookmarkStart w:id="63" w:name="_Toc25969"/>
      <w:bookmarkStart w:id="64" w:name="_Toc30453"/>
      <w:bookmarkStart w:id="65" w:name="_Toc31330"/>
      <w:r>
        <w:rPr>
          <w:rFonts w:hint="default" w:ascii="Times New Roman" w:hAnsi="Times New Roman" w:eastAsia="宋体" w:cs="Times New Roman"/>
          <w:b/>
          <w:bCs/>
          <w:color w:val="auto"/>
          <w:sz w:val="32"/>
          <w:szCs w:val="32"/>
          <w:lang w:val="en-US" w:eastAsia="zh-CN"/>
        </w:rPr>
        <w:t>第六章  经费估算</w:t>
      </w:r>
      <w:bookmarkEnd w:id="60"/>
      <w:bookmarkEnd w:id="61"/>
      <w:bookmarkEnd w:id="62"/>
      <w:bookmarkEnd w:id="63"/>
      <w:bookmarkEnd w:id="64"/>
      <w:bookmarkEnd w:id="65"/>
    </w:p>
    <w:p>
      <w:pPr>
        <w:keepNext w:val="0"/>
        <w:keepLines w:val="0"/>
        <w:pageBreakBefore w:val="0"/>
        <w:widowControl/>
        <w:numPr>
          <w:ilvl w:val="0"/>
          <w:numId w:val="0"/>
        </w:numPr>
        <w:kinsoku/>
        <w:wordWrap/>
        <w:overflowPunct/>
        <w:topLinePunct w:val="0"/>
        <w:autoSpaceDE/>
        <w:autoSpaceDN/>
        <w:bidi w:val="0"/>
        <w:adjustRightInd w:val="0"/>
        <w:snapToGrid w:val="0"/>
        <w:spacing w:before="161" w:beforeLines="50" w:line="360" w:lineRule="auto"/>
        <w:jc w:val="both"/>
        <w:textAlignment w:val="auto"/>
        <w:outlineLvl w:val="1"/>
        <w:rPr>
          <w:rFonts w:hint="default" w:ascii="Times New Roman" w:hAnsi="Times New Roman" w:eastAsia="宋体" w:cs="Times New Roman"/>
          <w:b/>
          <w:bCs/>
          <w:color w:val="auto"/>
          <w:sz w:val="28"/>
          <w:szCs w:val="28"/>
          <w:lang w:val="en-US" w:eastAsia="zh-CN"/>
        </w:rPr>
      </w:pPr>
      <w:bookmarkStart w:id="66" w:name="_Toc32038"/>
      <w:bookmarkStart w:id="67" w:name="_Toc25612"/>
      <w:r>
        <w:rPr>
          <w:rFonts w:hint="eastAsia" w:ascii="Times New Roman" w:hAnsi="Times New Roman" w:eastAsia="宋体" w:cs="Times New Roman"/>
          <w:b/>
          <w:bCs/>
          <w:color w:val="auto"/>
          <w:sz w:val="28"/>
          <w:szCs w:val="28"/>
          <w:lang w:val="en-US" w:eastAsia="zh-CN"/>
        </w:rPr>
        <w:t>一、</w:t>
      </w:r>
      <w:r>
        <w:rPr>
          <w:rFonts w:hint="default" w:ascii="Times New Roman" w:hAnsi="Times New Roman" w:eastAsia="宋体" w:cs="Times New Roman"/>
          <w:b/>
          <w:bCs/>
          <w:color w:val="auto"/>
          <w:sz w:val="28"/>
          <w:szCs w:val="28"/>
          <w:lang w:val="en-US" w:eastAsia="zh-CN"/>
        </w:rPr>
        <w:t>估算说明</w:t>
      </w:r>
      <w:bookmarkEnd w:id="66"/>
      <w:bookmarkEnd w:id="67"/>
    </w:p>
    <w:p>
      <w:pPr>
        <w:keepNext w:val="0"/>
        <w:keepLines w:val="0"/>
        <w:pageBreakBefore w:val="0"/>
        <w:widowControl/>
        <w:tabs>
          <w:tab w:val="left" w:pos="720"/>
        </w:tabs>
        <w:kinsoku/>
        <w:wordWrap/>
        <w:overflowPunct/>
        <w:topLinePunct w:val="0"/>
        <w:autoSpaceDE w:val="0"/>
        <w:autoSpaceDN w:val="0"/>
        <w:bidi w:val="0"/>
        <w:adjustRightInd w:val="0"/>
        <w:snapToGrid w:val="0"/>
        <w:spacing w:line="360" w:lineRule="auto"/>
        <w:ind w:firstLine="482" w:firstLineChars="200"/>
        <w:jc w:val="left"/>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lang w:val="en-US" w:eastAsia="zh-CN"/>
        </w:rPr>
        <w:t>1、</w:t>
      </w:r>
      <w:r>
        <w:rPr>
          <w:rFonts w:hint="default" w:ascii="Times New Roman" w:hAnsi="Times New Roman" w:eastAsia="宋体" w:cs="Times New Roman"/>
          <w:b/>
          <w:color w:val="auto"/>
          <w:sz w:val="24"/>
          <w:szCs w:val="24"/>
          <w:highlight w:val="none"/>
        </w:rPr>
        <w:t>预算编制依据</w:t>
      </w:r>
    </w:p>
    <w:p>
      <w:pPr>
        <w:keepNext w:val="0"/>
        <w:keepLines w:val="0"/>
        <w:pageBreakBefore w:val="0"/>
        <w:widowControl/>
        <w:kinsoku/>
        <w:wordWrap/>
        <w:overflowPunct/>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内蒙古自治区财政厅、国土资源厅《内蒙古自治区矿山地质环境治理工程预算定额标准（试行）》及相关配套文件；</w:t>
      </w:r>
    </w:p>
    <w:p>
      <w:pPr>
        <w:keepNext w:val="0"/>
        <w:keepLines w:val="0"/>
        <w:pageBreakBefore w:val="0"/>
        <w:widowControl/>
        <w:kinsoku/>
        <w:wordWrap/>
        <w:overflowPunct/>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《内蒙古自治区矿山地质环境治理工程定额》（内财建[2013]600号）；</w:t>
      </w:r>
    </w:p>
    <w:p>
      <w:pPr>
        <w:keepNext w:val="0"/>
        <w:keepLines w:val="0"/>
        <w:pageBreakBefore w:val="0"/>
        <w:widowControl/>
        <w:kinsoku/>
        <w:wordWrap/>
        <w:overflowPunct/>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矿山地质环境保护与</w:t>
      </w:r>
      <w:r>
        <w:rPr>
          <w:rFonts w:hint="default" w:ascii="Times New Roman" w:hAnsi="Times New Roman" w:eastAsia="宋体" w:cs="Times New Roman"/>
          <w:color w:val="auto"/>
          <w:sz w:val="24"/>
          <w:szCs w:val="24"/>
          <w:highlight w:val="none"/>
          <w:lang w:val="en-US" w:eastAsia="zh-CN"/>
        </w:rPr>
        <w:t>土地复垦</w:t>
      </w:r>
      <w:r>
        <w:rPr>
          <w:rFonts w:hint="default" w:ascii="Times New Roman" w:hAnsi="Times New Roman" w:eastAsia="宋体" w:cs="Times New Roman"/>
          <w:color w:val="auto"/>
          <w:sz w:val="24"/>
          <w:szCs w:val="24"/>
          <w:highlight w:val="none"/>
        </w:rPr>
        <w:t>方案</w:t>
      </w:r>
      <w:r>
        <w:rPr>
          <w:rFonts w:hint="default" w:ascii="Times New Roman" w:hAnsi="Times New Roman" w:eastAsia="宋体" w:cs="Times New Roman"/>
          <w:color w:val="auto"/>
          <w:sz w:val="24"/>
          <w:szCs w:val="24"/>
          <w:highlight w:val="none"/>
          <w:lang w:val="en-US" w:eastAsia="zh-CN"/>
        </w:rPr>
        <w:t>设计</w:t>
      </w:r>
      <w:r>
        <w:rPr>
          <w:rFonts w:hint="default" w:ascii="Times New Roman" w:hAnsi="Times New Roman" w:eastAsia="宋体" w:cs="Times New Roman"/>
          <w:color w:val="auto"/>
          <w:sz w:val="24"/>
          <w:szCs w:val="24"/>
          <w:highlight w:val="none"/>
        </w:rPr>
        <w:t>的实物工作量及相关图件；</w:t>
      </w:r>
    </w:p>
    <w:p>
      <w:pPr>
        <w:keepNext w:val="0"/>
        <w:keepLines w:val="0"/>
        <w:pageBreakBefore w:val="0"/>
        <w:widowControl/>
        <w:kinsoku/>
        <w:wordWrap/>
        <w:overflowPunct/>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财政部、国土资源部《土地开发整理项目预算定额标准》（2011）；</w:t>
      </w:r>
    </w:p>
    <w:p>
      <w:pPr>
        <w:keepNext w:val="0"/>
        <w:keepLines w:val="0"/>
        <w:pageBreakBefore w:val="0"/>
        <w:widowControl/>
        <w:kinsoku/>
        <w:wordWrap/>
        <w:overflowPunct/>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赤峰市材料价格信息（202</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年</w:t>
      </w:r>
      <w:r>
        <w:rPr>
          <w:rFonts w:hint="default"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季度）及</w:t>
      </w:r>
      <w:r>
        <w:rPr>
          <w:rFonts w:hint="default" w:ascii="Times New Roman" w:hAnsi="Times New Roman" w:eastAsia="宋体" w:cs="Times New Roman"/>
          <w:color w:val="auto"/>
          <w:sz w:val="24"/>
          <w:szCs w:val="24"/>
          <w:highlight w:val="none"/>
          <w:lang w:eastAsia="zh-CN"/>
        </w:rPr>
        <w:t>赤峰市</w:t>
      </w:r>
      <w:r>
        <w:rPr>
          <w:rFonts w:hint="default" w:ascii="Times New Roman" w:hAnsi="Times New Roman" w:eastAsia="宋体" w:cs="Times New Roman"/>
          <w:color w:val="auto"/>
          <w:sz w:val="24"/>
          <w:szCs w:val="24"/>
          <w:highlight w:val="none"/>
          <w:lang w:val="en-US" w:eastAsia="zh-CN"/>
        </w:rPr>
        <w:t>元宝山区</w:t>
      </w:r>
      <w:r>
        <w:rPr>
          <w:rFonts w:hint="default" w:ascii="Times New Roman" w:hAnsi="Times New Roman" w:eastAsia="宋体" w:cs="Times New Roman"/>
          <w:color w:val="auto"/>
          <w:sz w:val="24"/>
          <w:szCs w:val="24"/>
          <w:highlight w:val="none"/>
        </w:rPr>
        <w:t>材料价格市场询价。</w:t>
      </w:r>
    </w:p>
    <w:p>
      <w:pPr>
        <w:keepNext w:val="0"/>
        <w:keepLines w:val="0"/>
        <w:pageBreakBefore w:val="0"/>
        <w:widowControl/>
        <w:tabs>
          <w:tab w:val="left" w:pos="720"/>
        </w:tabs>
        <w:kinsoku/>
        <w:wordWrap/>
        <w:overflowPunct/>
        <w:topLinePunct w:val="0"/>
        <w:autoSpaceDE w:val="0"/>
        <w:autoSpaceDN w:val="0"/>
        <w:bidi w:val="0"/>
        <w:adjustRightInd w:val="0"/>
        <w:snapToGrid w:val="0"/>
        <w:spacing w:line="360" w:lineRule="auto"/>
        <w:ind w:firstLine="482" w:firstLineChars="200"/>
        <w:jc w:val="left"/>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lang w:val="en-US" w:eastAsia="zh-CN"/>
        </w:rPr>
        <w:t>2、</w:t>
      </w:r>
      <w:r>
        <w:rPr>
          <w:rFonts w:hint="default" w:ascii="Times New Roman" w:hAnsi="Times New Roman" w:eastAsia="宋体" w:cs="Times New Roman"/>
          <w:b/>
          <w:color w:val="auto"/>
          <w:sz w:val="24"/>
          <w:szCs w:val="24"/>
          <w:highlight w:val="none"/>
        </w:rPr>
        <w:t>费用计算</w:t>
      </w:r>
    </w:p>
    <w:p>
      <w:pPr>
        <w:keepNext w:val="0"/>
        <w:keepLines w:val="0"/>
        <w:pageBreakBefore w:val="0"/>
        <w:widowControl/>
        <w:kinsoku/>
        <w:wordWrap/>
        <w:overflowPunct/>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highlight w:val="none"/>
        </w:rPr>
      </w:pPr>
      <w:bookmarkStart w:id="68" w:name="_Toc523390679"/>
      <w:r>
        <w:rPr>
          <w:rFonts w:hint="default" w:ascii="Times New Roman" w:hAnsi="Times New Roman" w:eastAsia="宋体" w:cs="Times New Roman"/>
          <w:color w:val="auto"/>
          <w:sz w:val="24"/>
          <w:szCs w:val="24"/>
          <w:highlight w:val="none"/>
        </w:rPr>
        <w:t>项目的投资为静态投资，其投资总额由静态投资和价差预备费组成。静态投资由工程施工费、其他费用、监测管护费、不可预见费组成。价差预备费是在方案编制年至矿山闭坑年期间，由于材料价格变化可能产生治理费用上浮而预留的费用</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年度治理计划书不涉及</w:t>
      </w:r>
      <w:r>
        <w:rPr>
          <w:rFonts w:hint="default" w:ascii="Times New Roman" w:hAnsi="Times New Roman" w:eastAsia="宋体" w:cs="Times New Roman"/>
          <w:color w:val="auto"/>
          <w:sz w:val="24"/>
          <w:szCs w:val="24"/>
          <w:highlight w:val="none"/>
        </w:rPr>
        <w:t>价差预备费</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。具体计费标准如下：</w:t>
      </w:r>
    </w:p>
    <w:p>
      <w:pPr>
        <w:keepNext w:val="0"/>
        <w:keepLines w:val="0"/>
        <w:pageBreakBefore w:val="0"/>
        <w:widowControl/>
        <w:kinsoku/>
        <w:wordWrap/>
        <w:overflowPunct/>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b w:val="0"/>
          <w:bCs/>
          <w:color w:val="auto"/>
          <w:sz w:val="24"/>
          <w:szCs w:val="24"/>
          <w:highlight w:val="none"/>
        </w:rPr>
      </w:pPr>
      <w:r>
        <w:rPr>
          <w:rFonts w:hint="default" w:ascii="Times New Roman" w:hAnsi="Times New Roman" w:eastAsia="宋体" w:cs="Times New Roman"/>
          <w:b w:val="0"/>
          <w:bCs/>
          <w:color w:val="auto"/>
          <w:sz w:val="24"/>
          <w:szCs w:val="24"/>
          <w:highlight w:val="none"/>
          <w:lang w:val="en-US" w:eastAsia="zh-CN"/>
        </w:rPr>
        <w:t>（1）</w:t>
      </w:r>
      <w:r>
        <w:rPr>
          <w:rFonts w:hint="default" w:ascii="Times New Roman" w:hAnsi="Times New Roman" w:eastAsia="宋体" w:cs="Times New Roman"/>
          <w:b w:val="0"/>
          <w:bCs/>
          <w:color w:val="auto"/>
          <w:sz w:val="24"/>
          <w:szCs w:val="24"/>
          <w:highlight w:val="none"/>
        </w:rPr>
        <w:t>工程施工费</w:t>
      </w:r>
    </w:p>
    <w:p>
      <w:pPr>
        <w:keepNext w:val="0"/>
        <w:keepLines w:val="0"/>
        <w:pageBreakBefore w:val="0"/>
        <w:widowControl/>
        <w:kinsoku/>
        <w:wordWrap/>
        <w:overflowPunct/>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工程施工费包括直接费、间接费、利润和税金。</w:t>
      </w:r>
    </w:p>
    <w:p>
      <w:pPr>
        <w:keepNext w:val="0"/>
        <w:keepLines w:val="0"/>
        <w:pageBreakBefore w:val="0"/>
        <w:widowControl/>
        <w:kinsoku/>
        <w:wordWrap/>
        <w:overflowPunct/>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a、</w:t>
      </w:r>
      <w:r>
        <w:rPr>
          <w:rFonts w:hint="default" w:ascii="Times New Roman" w:hAnsi="Times New Roman" w:eastAsia="宋体" w:cs="Times New Roman"/>
          <w:color w:val="auto"/>
          <w:sz w:val="24"/>
          <w:szCs w:val="24"/>
          <w:highlight w:val="none"/>
        </w:rPr>
        <w:t>直接费</w:t>
      </w:r>
    </w:p>
    <w:p>
      <w:pPr>
        <w:keepNext w:val="0"/>
        <w:keepLines w:val="0"/>
        <w:pageBreakBefore w:val="0"/>
        <w:widowControl/>
        <w:kinsoku/>
        <w:wordWrap/>
        <w:overflowPunct/>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直接费指工程施工过程中直接消耗在工程项目上的活劳动和物化劳动。由直接工程费、措施费组成。</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Chars="20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①直接工程费</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直接工程费由人工费、材料费、施工机械使用费组成。</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人工费=定额劳动量（工日）×人工概算单价（元／工日），人工单价根据《内蒙古自治区矿山地质环境治理工程预算定额标准》的规定计取，</w:t>
      </w:r>
      <w:r>
        <w:rPr>
          <w:rFonts w:hint="default" w:ascii="Times New Roman" w:hAnsi="Times New Roman" w:eastAsia="宋体" w:cs="Times New Roman"/>
          <w:color w:val="auto"/>
          <w:sz w:val="24"/>
          <w:szCs w:val="24"/>
          <w:highlight w:val="none"/>
          <w:lang w:eastAsia="zh-CN"/>
        </w:rPr>
        <w:t>赤峰市</w:t>
      </w:r>
      <w:r>
        <w:rPr>
          <w:rFonts w:hint="default" w:ascii="Times New Roman" w:hAnsi="Times New Roman" w:eastAsia="宋体" w:cs="Times New Roman"/>
          <w:color w:val="auto"/>
          <w:sz w:val="24"/>
          <w:szCs w:val="24"/>
          <w:highlight w:val="none"/>
          <w:lang w:val="en-US" w:eastAsia="zh-CN"/>
        </w:rPr>
        <w:t>元宝山</w:t>
      </w:r>
      <w:r>
        <w:rPr>
          <w:rFonts w:hint="default" w:ascii="Times New Roman" w:hAnsi="Times New Roman" w:eastAsia="宋体" w:cs="Times New Roman"/>
          <w:color w:val="auto"/>
          <w:sz w:val="24"/>
          <w:szCs w:val="24"/>
          <w:highlight w:val="none"/>
          <w:lang w:eastAsia="zh-CN"/>
        </w:rPr>
        <w:t>区</w:t>
      </w:r>
      <w:r>
        <w:rPr>
          <w:rFonts w:hint="default" w:ascii="Times New Roman" w:hAnsi="Times New Roman" w:eastAsia="宋体" w:cs="Times New Roman"/>
          <w:color w:val="auto"/>
          <w:sz w:val="24"/>
          <w:szCs w:val="24"/>
          <w:highlight w:val="none"/>
        </w:rPr>
        <w:t>属于</w:t>
      </w:r>
      <w:r>
        <w:rPr>
          <w:rFonts w:hint="default" w:ascii="Times New Roman" w:hAnsi="Times New Roman" w:eastAsia="宋体" w:cs="Times New Roman"/>
          <w:color w:val="auto"/>
          <w:sz w:val="24"/>
          <w:szCs w:val="24"/>
          <w:highlight w:val="none"/>
          <w:lang w:eastAsia="zh-CN"/>
        </w:rPr>
        <w:t>二</w:t>
      </w:r>
      <w:r>
        <w:rPr>
          <w:rFonts w:hint="default" w:ascii="Times New Roman" w:hAnsi="Times New Roman" w:eastAsia="宋体" w:cs="Times New Roman"/>
          <w:color w:val="auto"/>
          <w:sz w:val="24"/>
          <w:szCs w:val="24"/>
          <w:highlight w:val="none"/>
        </w:rPr>
        <w:t>类区，甲类工</w:t>
      </w:r>
      <w:r>
        <w:rPr>
          <w:rFonts w:hint="default" w:ascii="Times New Roman" w:hAnsi="Times New Roman" w:eastAsia="宋体" w:cs="Times New Roman"/>
          <w:color w:val="auto"/>
          <w:sz w:val="24"/>
          <w:szCs w:val="24"/>
          <w:highlight w:val="none"/>
          <w:lang w:val="en-US" w:eastAsia="zh-CN"/>
        </w:rPr>
        <w:t>94.15</w:t>
      </w:r>
      <w:r>
        <w:rPr>
          <w:rFonts w:hint="default" w:ascii="Times New Roman" w:hAnsi="Times New Roman" w:eastAsia="宋体" w:cs="Times New Roman"/>
          <w:color w:val="auto"/>
          <w:sz w:val="24"/>
          <w:szCs w:val="24"/>
          <w:highlight w:val="none"/>
        </w:rPr>
        <w:t>元／工日，乙类工</w:t>
      </w:r>
      <w:r>
        <w:rPr>
          <w:rFonts w:hint="default" w:ascii="Times New Roman" w:hAnsi="Times New Roman" w:eastAsia="宋体" w:cs="Times New Roman"/>
          <w:color w:val="auto"/>
          <w:sz w:val="24"/>
          <w:szCs w:val="24"/>
          <w:highlight w:val="none"/>
          <w:lang w:val="en-US" w:eastAsia="zh-CN"/>
        </w:rPr>
        <w:t>69.11</w:t>
      </w:r>
      <w:r>
        <w:rPr>
          <w:rFonts w:hint="default" w:ascii="Times New Roman" w:hAnsi="Times New Roman" w:eastAsia="宋体" w:cs="Times New Roman"/>
          <w:color w:val="auto"/>
          <w:sz w:val="24"/>
          <w:szCs w:val="24"/>
          <w:highlight w:val="none"/>
        </w:rPr>
        <w:t>元／工日。</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材料费=定额材料用量×材料单价，主要材料单价按照《内蒙古自治区矿山地质环境治理工程预算定额标准》编制，超出限价部分单独计算材料价差，主要材料以外的材料价格以赤峰市或</w:t>
      </w:r>
      <w:r>
        <w:rPr>
          <w:rFonts w:hint="default" w:ascii="Times New Roman" w:hAnsi="Times New Roman" w:eastAsia="宋体" w:cs="Times New Roman"/>
          <w:color w:val="auto"/>
          <w:sz w:val="24"/>
          <w:szCs w:val="24"/>
          <w:highlight w:val="none"/>
          <w:lang w:eastAsia="zh-CN"/>
        </w:rPr>
        <w:t>赤峰市</w:t>
      </w:r>
      <w:r>
        <w:rPr>
          <w:rFonts w:hint="default" w:ascii="Times New Roman" w:hAnsi="Times New Roman" w:eastAsia="宋体" w:cs="Times New Roman"/>
          <w:color w:val="auto"/>
          <w:sz w:val="24"/>
          <w:szCs w:val="24"/>
          <w:highlight w:val="none"/>
          <w:lang w:val="en-US" w:eastAsia="zh-CN"/>
        </w:rPr>
        <w:t>元宝山区</w:t>
      </w:r>
      <w:r>
        <w:rPr>
          <w:rFonts w:hint="default" w:ascii="Times New Roman" w:hAnsi="Times New Roman" w:eastAsia="宋体" w:cs="Times New Roman"/>
          <w:color w:val="auto"/>
          <w:sz w:val="24"/>
          <w:szCs w:val="24"/>
          <w:highlight w:val="none"/>
        </w:rPr>
        <w:t>202</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年</w:t>
      </w:r>
      <w:r>
        <w:rPr>
          <w:rFonts w:hint="default"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季度市场价格计取并以材料到工地实际价格计。</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施工机械使用费=定额机械使用量（台班）×施工机械台班费（元／台班）。台班费定额依据《内蒙古自治区矿山地质环境治理工程预算定额标准》编制。</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②措施费</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措施费是指为完成工程项目施工，发生于该工程施工前和施工过程中非工程实体项目的费用，包括临时设施费、冬雨季施工增加费、施工辅助费和安全施工措施费，本项目不计夜间施工增加费。措施费按项目直接工程费×措施费费率进行计算。其费率依据《内蒙古自治区矿山地质环境治理工程预算定额标准》计取。</w:t>
      </w:r>
    </w:p>
    <w:p>
      <w:pPr>
        <w:keepNext w:val="0"/>
        <w:keepLines w:val="0"/>
        <w:pageBreakBefore w:val="0"/>
        <w:widowControl w:val="0"/>
        <w:tabs>
          <w:tab w:val="left" w:pos="7235"/>
        </w:tabs>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b/>
          <w:color w:val="auto"/>
          <w:sz w:val="21"/>
          <w:szCs w:val="21"/>
          <w:highlight w:val="none"/>
        </w:rPr>
      </w:pPr>
      <w:r>
        <w:rPr>
          <w:rFonts w:hint="eastAsia" w:ascii="黑体" w:hAnsi="黑体" w:eastAsia="黑体" w:cs="黑体"/>
          <w:b w:val="0"/>
          <w:bCs/>
          <w:color w:val="auto"/>
          <w:sz w:val="24"/>
          <w:szCs w:val="24"/>
          <w:highlight w:val="none"/>
        </w:rPr>
        <w:t>表</w:t>
      </w:r>
      <w:r>
        <w:rPr>
          <w:rFonts w:hint="eastAsia" w:ascii="黑体" w:hAnsi="黑体" w:eastAsia="黑体" w:cs="黑体"/>
          <w:b w:val="0"/>
          <w:bCs/>
          <w:color w:val="auto"/>
          <w:sz w:val="24"/>
          <w:szCs w:val="24"/>
          <w:highlight w:val="none"/>
          <w:lang w:val="en-US" w:eastAsia="zh-CN"/>
        </w:rPr>
        <w:t>6</w:t>
      </w:r>
      <w:r>
        <w:rPr>
          <w:rFonts w:hint="eastAsia" w:ascii="黑体" w:hAnsi="黑体" w:eastAsia="黑体" w:cs="黑体"/>
          <w:b w:val="0"/>
          <w:bCs/>
          <w:color w:val="auto"/>
          <w:sz w:val="24"/>
          <w:szCs w:val="24"/>
          <w:highlight w:val="none"/>
        </w:rPr>
        <w:t>-1  措施费费率表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85"/>
        <w:gridCol w:w="1267"/>
        <w:gridCol w:w="1180"/>
        <w:gridCol w:w="1606"/>
        <w:gridCol w:w="1189"/>
        <w:gridCol w:w="1403"/>
        <w:gridCol w:w="11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序号</w:t>
            </w:r>
          </w:p>
        </w:tc>
        <w:tc>
          <w:tcPr>
            <w:tcW w:w="126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工程类别</w:t>
            </w:r>
          </w:p>
        </w:tc>
        <w:tc>
          <w:tcPr>
            <w:tcW w:w="11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临时设施费率（%）</w:t>
            </w:r>
          </w:p>
        </w:tc>
        <w:tc>
          <w:tcPr>
            <w:tcW w:w="16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冬雨季施工增加费率（%）</w:t>
            </w:r>
          </w:p>
        </w:tc>
        <w:tc>
          <w:tcPr>
            <w:tcW w:w="11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施工辅助</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费率（%）</w:t>
            </w:r>
          </w:p>
        </w:tc>
        <w:tc>
          <w:tcPr>
            <w:tcW w:w="140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安全施工措施费率（%）</w:t>
            </w:r>
          </w:p>
        </w:tc>
        <w:tc>
          <w:tcPr>
            <w:tcW w:w="110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费率合计（%）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1</w:t>
            </w:r>
          </w:p>
        </w:tc>
        <w:tc>
          <w:tcPr>
            <w:tcW w:w="126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土方工程</w:t>
            </w:r>
          </w:p>
        </w:tc>
        <w:tc>
          <w:tcPr>
            <w:tcW w:w="11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2</w:t>
            </w:r>
          </w:p>
        </w:tc>
        <w:tc>
          <w:tcPr>
            <w:tcW w:w="16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0.7</w:t>
            </w:r>
          </w:p>
        </w:tc>
        <w:tc>
          <w:tcPr>
            <w:tcW w:w="11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0.7</w:t>
            </w:r>
          </w:p>
        </w:tc>
        <w:tc>
          <w:tcPr>
            <w:tcW w:w="140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0.2</w:t>
            </w:r>
          </w:p>
        </w:tc>
        <w:tc>
          <w:tcPr>
            <w:tcW w:w="110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2</w:t>
            </w:r>
          </w:p>
        </w:tc>
        <w:tc>
          <w:tcPr>
            <w:tcW w:w="126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石方工程</w:t>
            </w:r>
          </w:p>
        </w:tc>
        <w:tc>
          <w:tcPr>
            <w:tcW w:w="11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2</w:t>
            </w:r>
          </w:p>
        </w:tc>
        <w:tc>
          <w:tcPr>
            <w:tcW w:w="16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zh-CN"/>
              </w:rPr>
              <w:t>0.7</w:t>
            </w:r>
          </w:p>
        </w:tc>
        <w:tc>
          <w:tcPr>
            <w:tcW w:w="11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zh-CN"/>
              </w:rPr>
              <w:t>0.7</w:t>
            </w:r>
          </w:p>
        </w:tc>
        <w:tc>
          <w:tcPr>
            <w:tcW w:w="140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zh-CN"/>
              </w:rPr>
              <w:t>0.2</w:t>
            </w:r>
          </w:p>
        </w:tc>
        <w:tc>
          <w:tcPr>
            <w:tcW w:w="110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zh-CN"/>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3</w:t>
            </w:r>
          </w:p>
        </w:tc>
        <w:tc>
          <w:tcPr>
            <w:tcW w:w="126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砌体工程</w:t>
            </w:r>
          </w:p>
        </w:tc>
        <w:tc>
          <w:tcPr>
            <w:tcW w:w="11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2</w:t>
            </w:r>
          </w:p>
        </w:tc>
        <w:tc>
          <w:tcPr>
            <w:tcW w:w="16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zh-CN"/>
              </w:rPr>
              <w:t>0.7</w:t>
            </w:r>
          </w:p>
        </w:tc>
        <w:tc>
          <w:tcPr>
            <w:tcW w:w="11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zh-CN"/>
              </w:rPr>
              <w:t>0.7</w:t>
            </w:r>
          </w:p>
        </w:tc>
        <w:tc>
          <w:tcPr>
            <w:tcW w:w="140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zh-CN"/>
              </w:rPr>
              <w:t>0.2</w:t>
            </w:r>
          </w:p>
        </w:tc>
        <w:tc>
          <w:tcPr>
            <w:tcW w:w="110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zh-CN"/>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4</w:t>
            </w:r>
          </w:p>
        </w:tc>
        <w:tc>
          <w:tcPr>
            <w:tcW w:w="126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混凝土工程</w:t>
            </w:r>
          </w:p>
        </w:tc>
        <w:tc>
          <w:tcPr>
            <w:tcW w:w="11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3</w:t>
            </w:r>
          </w:p>
        </w:tc>
        <w:tc>
          <w:tcPr>
            <w:tcW w:w="16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zh-CN"/>
              </w:rPr>
              <w:t>0.7</w:t>
            </w:r>
          </w:p>
        </w:tc>
        <w:tc>
          <w:tcPr>
            <w:tcW w:w="11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zh-CN"/>
              </w:rPr>
              <w:t>0.7</w:t>
            </w:r>
          </w:p>
        </w:tc>
        <w:tc>
          <w:tcPr>
            <w:tcW w:w="140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zh-CN"/>
              </w:rPr>
              <w:t>0.2</w:t>
            </w:r>
          </w:p>
        </w:tc>
        <w:tc>
          <w:tcPr>
            <w:tcW w:w="110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5</w:t>
            </w:r>
          </w:p>
        </w:tc>
        <w:tc>
          <w:tcPr>
            <w:tcW w:w="126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植被工程</w:t>
            </w:r>
          </w:p>
        </w:tc>
        <w:tc>
          <w:tcPr>
            <w:tcW w:w="11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2</w:t>
            </w:r>
          </w:p>
        </w:tc>
        <w:tc>
          <w:tcPr>
            <w:tcW w:w="16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zh-CN"/>
              </w:rPr>
              <w:t>0.7</w:t>
            </w:r>
          </w:p>
        </w:tc>
        <w:tc>
          <w:tcPr>
            <w:tcW w:w="11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zh-CN"/>
              </w:rPr>
              <w:t>0.7</w:t>
            </w:r>
          </w:p>
        </w:tc>
        <w:tc>
          <w:tcPr>
            <w:tcW w:w="140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zh-CN"/>
              </w:rPr>
              <w:t>0.2</w:t>
            </w:r>
          </w:p>
        </w:tc>
        <w:tc>
          <w:tcPr>
            <w:tcW w:w="110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5</w:t>
            </w:r>
          </w:p>
        </w:tc>
        <w:tc>
          <w:tcPr>
            <w:tcW w:w="126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辅助工程</w:t>
            </w:r>
          </w:p>
        </w:tc>
        <w:tc>
          <w:tcPr>
            <w:tcW w:w="11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2</w:t>
            </w:r>
          </w:p>
        </w:tc>
        <w:tc>
          <w:tcPr>
            <w:tcW w:w="16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zh-CN"/>
              </w:rPr>
              <w:t>0.7</w:t>
            </w:r>
          </w:p>
        </w:tc>
        <w:tc>
          <w:tcPr>
            <w:tcW w:w="11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zh-CN"/>
              </w:rPr>
              <w:t>0.7</w:t>
            </w:r>
          </w:p>
        </w:tc>
        <w:tc>
          <w:tcPr>
            <w:tcW w:w="140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zh-CN"/>
              </w:rPr>
              <w:t>0.2</w:t>
            </w:r>
          </w:p>
        </w:tc>
        <w:tc>
          <w:tcPr>
            <w:tcW w:w="110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zh-CN"/>
              </w:rPr>
              <w:t>3.6</w:t>
            </w:r>
          </w:p>
        </w:tc>
      </w:tr>
    </w:tbl>
    <w:p>
      <w:pPr>
        <w:wordWrap/>
        <w:spacing w:before="120" w:beforeLines="50" w:line="360" w:lineRule="auto"/>
        <w:ind w:firstLine="480" w:firstLineChars="200"/>
        <w:jc w:val="left"/>
        <w:rPr>
          <w:rFonts w:hint="default" w:ascii="Times New Roman" w:hAnsi="Times New Roman" w:eastAsia="宋体" w:cs="Times New Roman"/>
          <w:color w:val="auto"/>
          <w:sz w:val="24"/>
          <w:szCs w:val="24"/>
          <w:highlight w:val="none"/>
        </w:rPr>
      </w:pPr>
      <w:r>
        <w:rPr>
          <w:rFonts w:hint="eastAsia" w:ascii="Times New Roman" w:hAnsi="Times New Roman" w:cs="Times New Roman"/>
          <w:color w:val="auto"/>
          <w:sz w:val="24"/>
          <w:szCs w:val="24"/>
          <w:highlight w:val="none"/>
          <w:lang w:val="en-US" w:eastAsia="zh-CN"/>
        </w:rPr>
        <w:t>b</w:t>
      </w:r>
      <w:r>
        <w:rPr>
          <w:rFonts w:hint="eastAsia"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间接费</w:t>
      </w:r>
    </w:p>
    <w:p>
      <w:pPr>
        <w:wordWrap/>
        <w:spacing w:line="360" w:lineRule="auto"/>
        <w:ind w:firstLine="480" w:firstLineChars="20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间接费包括企业管理费和规费，依据《内蒙古自治区矿山地质环境治理工程预算定额标准》规定，间接费率按工程类别进行计取，间接费按项目直接费×间接费费率进行计算。</w:t>
      </w:r>
    </w:p>
    <w:p>
      <w:pPr>
        <w:keepNext w:val="0"/>
        <w:keepLines w:val="0"/>
        <w:pageBreakBefore w:val="0"/>
        <w:widowControl w:val="0"/>
        <w:tabs>
          <w:tab w:val="left" w:pos="7235"/>
        </w:tabs>
        <w:kinsoku/>
        <w:wordWrap/>
        <w:overflowPunct/>
        <w:topLinePunct w:val="0"/>
        <w:autoSpaceDE/>
        <w:autoSpaceDN/>
        <w:bidi w:val="0"/>
        <w:adjustRightInd w:val="0"/>
        <w:snapToGrid w:val="0"/>
        <w:spacing w:line="360" w:lineRule="auto"/>
        <w:ind w:right="0" w:rightChars="0" w:firstLine="0" w:firstLineChars="0"/>
        <w:jc w:val="center"/>
        <w:textAlignment w:val="auto"/>
        <w:rPr>
          <w:rFonts w:hint="default" w:ascii="Times New Roman" w:hAnsi="Times New Roman" w:eastAsia="宋体" w:cs="Times New Roman"/>
          <w:b/>
          <w:color w:val="auto"/>
          <w:sz w:val="21"/>
          <w:szCs w:val="21"/>
          <w:highlight w:val="none"/>
        </w:rPr>
      </w:pPr>
      <w:r>
        <w:rPr>
          <w:rFonts w:hint="eastAsia" w:ascii="黑体" w:hAnsi="黑体" w:eastAsia="黑体" w:cs="黑体"/>
          <w:b w:val="0"/>
          <w:bCs/>
          <w:color w:val="auto"/>
          <w:sz w:val="24"/>
          <w:szCs w:val="24"/>
          <w:highlight w:val="none"/>
        </w:rPr>
        <w:t>表</w:t>
      </w:r>
      <w:r>
        <w:rPr>
          <w:rFonts w:hint="eastAsia" w:ascii="黑体" w:hAnsi="黑体" w:eastAsia="黑体" w:cs="黑体"/>
          <w:b w:val="0"/>
          <w:bCs/>
          <w:color w:val="auto"/>
          <w:sz w:val="24"/>
          <w:szCs w:val="24"/>
          <w:highlight w:val="none"/>
          <w:lang w:val="en-US" w:eastAsia="zh-CN"/>
        </w:rPr>
        <w:t>6</w:t>
      </w:r>
      <w:r>
        <w:rPr>
          <w:rFonts w:hint="eastAsia" w:ascii="黑体" w:hAnsi="黑体" w:eastAsia="黑体" w:cs="黑体"/>
          <w:b w:val="0"/>
          <w:bCs/>
          <w:color w:val="auto"/>
          <w:sz w:val="24"/>
          <w:szCs w:val="24"/>
          <w:highlight w:val="none"/>
        </w:rPr>
        <w:t>-2  间接费费率表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66"/>
        <w:gridCol w:w="2315"/>
        <w:gridCol w:w="2332"/>
        <w:gridCol w:w="1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76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序号</w:t>
            </w:r>
          </w:p>
        </w:tc>
        <w:tc>
          <w:tcPr>
            <w:tcW w:w="23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工程类别</w:t>
            </w:r>
          </w:p>
        </w:tc>
        <w:tc>
          <w:tcPr>
            <w:tcW w:w="233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计算基础</w:t>
            </w:r>
          </w:p>
        </w:tc>
        <w:tc>
          <w:tcPr>
            <w:tcW w:w="18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费率（%）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76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l</w:t>
            </w:r>
          </w:p>
        </w:tc>
        <w:tc>
          <w:tcPr>
            <w:tcW w:w="23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土方工程</w:t>
            </w:r>
          </w:p>
        </w:tc>
        <w:tc>
          <w:tcPr>
            <w:tcW w:w="233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直接费</w:t>
            </w:r>
          </w:p>
        </w:tc>
        <w:tc>
          <w:tcPr>
            <w:tcW w:w="18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76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2</w:t>
            </w:r>
          </w:p>
        </w:tc>
        <w:tc>
          <w:tcPr>
            <w:tcW w:w="23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石方工程</w:t>
            </w:r>
          </w:p>
        </w:tc>
        <w:tc>
          <w:tcPr>
            <w:tcW w:w="233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直接费</w:t>
            </w:r>
          </w:p>
        </w:tc>
        <w:tc>
          <w:tcPr>
            <w:tcW w:w="18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76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3</w:t>
            </w:r>
          </w:p>
        </w:tc>
        <w:tc>
          <w:tcPr>
            <w:tcW w:w="23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砌体工程</w:t>
            </w:r>
          </w:p>
        </w:tc>
        <w:tc>
          <w:tcPr>
            <w:tcW w:w="233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zh-CN"/>
              </w:rPr>
              <w:t>直接费</w:t>
            </w:r>
          </w:p>
        </w:tc>
        <w:tc>
          <w:tcPr>
            <w:tcW w:w="18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76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4</w:t>
            </w:r>
          </w:p>
        </w:tc>
        <w:tc>
          <w:tcPr>
            <w:tcW w:w="23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混凝土工程</w:t>
            </w:r>
          </w:p>
        </w:tc>
        <w:tc>
          <w:tcPr>
            <w:tcW w:w="233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直接费</w:t>
            </w:r>
          </w:p>
        </w:tc>
        <w:tc>
          <w:tcPr>
            <w:tcW w:w="18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76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5</w:t>
            </w:r>
          </w:p>
        </w:tc>
        <w:tc>
          <w:tcPr>
            <w:tcW w:w="23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植被工程</w:t>
            </w:r>
          </w:p>
        </w:tc>
        <w:tc>
          <w:tcPr>
            <w:tcW w:w="233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直接费</w:t>
            </w:r>
          </w:p>
        </w:tc>
        <w:tc>
          <w:tcPr>
            <w:tcW w:w="18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76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6</w:t>
            </w:r>
          </w:p>
        </w:tc>
        <w:tc>
          <w:tcPr>
            <w:tcW w:w="23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辅助工程</w:t>
            </w:r>
          </w:p>
        </w:tc>
        <w:tc>
          <w:tcPr>
            <w:tcW w:w="233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zh-CN"/>
              </w:rPr>
              <w:t>直接费</w:t>
            </w:r>
          </w:p>
        </w:tc>
        <w:tc>
          <w:tcPr>
            <w:tcW w:w="18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lang w:val="zh-CN"/>
              </w:rPr>
            </w:pPr>
            <w:r>
              <w:rPr>
                <w:rFonts w:hint="default" w:ascii="Times New Roman" w:hAnsi="Times New Roman" w:eastAsia="宋体" w:cs="Times New Roman"/>
                <w:color w:val="auto"/>
                <w:sz w:val="18"/>
                <w:szCs w:val="18"/>
                <w:highlight w:val="none"/>
                <w:lang w:val="zh-CN"/>
              </w:rPr>
              <w:t>5</w:t>
            </w:r>
          </w:p>
        </w:tc>
      </w:tr>
    </w:tbl>
    <w:p>
      <w:pPr>
        <w:wordWrap/>
        <w:spacing w:before="120" w:beforeLines="50" w:line="360" w:lineRule="auto"/>
        <w:ind w:firstLine="480" w:firstLineChars="200"/>
        <w:jc w:val="left"/>
        <w:rPr>
          <w:rFonts w:hint="default" w:ascii="Times New Roman" w:hAnsi="Times New Roman" w:eastAsia="宋体" w:cs="Times New Roman"/>
          <w:color w:val="auto"/>
          <w:sz w:val="24"/>
          <w:szCs w:val="24"/>
          <w:highlight w:val="none"/>
        </w:rPr>
      </w:pPr>
      <w:r>
        <w:rPr>
          <w:rFonts w:hint="eastAsia" w:ascii="Times New Roman" w:hAnsi="Times New Roman" w:cs="Times New Roman"/>
          <w:color w:val="auto"/>
          <w:sz w:val="24"/>
          <w:szCs w:val="24"/>
          <w:highlight w:val="none"/>
          <w:lang w:val="en-US" w:eastAsia="zh-CN"/>
        </w:rPr>
        <w:t>c</w:t>
      </w:r>
      <w:r>
        <w:rPr>
          <w:rFonts w:hint="eastAsia"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利润</w:t>
      </w:r>
    </w:p>
    <w:p>
      <w:pPr>
        <w:wordWrap/>
        <w:spacing w:line="360" w:lineRule="auto"/>
        <w:ind w:firstLine="480" w:firstLineChars="20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依据《内蒙古自治区矿山地质环境治理工程预算定额标准》规定，利润按直接费与间接费之和的3%计取。</w:t>
      </w:r>
    </w:p>
    <w:p>
      <w:pPr>
        <w:wordWrap/>
        <w:spacing w:line="360" w:lineRule="auto"/>
        <w:ind w:firstLine="480" w:firstLineChars="200"/>
        <w:jc w:val="left"/>
        <w:rPr>
          <w:rFonts w:hint="default" w:ascii="Times New Roman" w:hAnsi="Times New Roman" w:eastAsia="宋体" w:cs="Times New Roman"/>
          <w:color w:val="auto"/>
          <w:sz w:val="24"/>
          <w:szCs w:val="24"/>
          <w:highlight w:val="none"/>
        </w:rPr>
      </w:pPr>
      <w:r>
        <w:rPr>
          <w:rFonts w:hint="eastAsia" w:ascii="Times New Roman" w:hAnsi="Times New Roman" w:cs="Times New Roman"/>
          <w:color w:val="auto"/>
          <w:sz w:val="24"/>
          <w:szCs w:val="24"/>
          <w:highlight w:val="none"/>
          <w:lang w:val="en-US" w:eastAsia="zh-CN"/>
        </w:rPr>
        <w:t>d</w:t>
      </w:r>
      <w:r>
        <w:rPr>
          <w:rFonts w:hint="eastAsia"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税金</w:t>
      </w:r>
    </w:p>
    <w:p>
      <w:pPr>
        <w:wordWrap/>
        <w:spacing w:line="360" w:lineRule="auto"/>
        <w:ind w:firstLine="480" w:firstLineChars="20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依据《内蒙古自治区矿山地质环境治理工程预算定额标准》，税金按直接费、</w:t>
      </w:r>
    </w:p>
    <w:p>
      <w:pPr>
        <w:wordWrap/>
        <w:spacing w:line="360" w:lineRule="auto"/>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间接费、利润之和的3.28%计取。</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 w:val="0"/>
          <w:bCs/>
          <w:color w:val="auto"/>
          <w:sz w:val="24"/>
          <w:szCs w:val="24"/>
          <w:highlight w:val="none"/>
        </w:rPr>
      </w:pPr>
      <w:r>
        <w:rPr>
          <w:rFonts w:hint="eastAsia" w:ascii="Times New Roman" w:hAnsi="Times New Roman" w:cs="Times New Roman"/>
          <w:b w:val="0"/>
          <w:bCs/>
          <w:color w:val="auto"/>
          <w:sz w:val="24"/>
          <w:szCs w:val="24"/>
          <w:highlight w:val="none"/>
          <w:lang w:val="en-US" w:eastAsia="zh-CN"/>
        </w:rPr>
        <w:t>（2）</w:t>
      </w:r>
      <w:r>
        <w:rPr>
          <w:rFonts w:hint="default" w:ascii="Times New Roman" w:hAnsi="Times New Roman" w:eastAsia="宋体" w:cs="Times New Roman"/>
          <w:b w:val="0"/>
          <w:bCs/>
          <w:color w:val="auto"/>
          <w:sz w:val="24"/>
          <w:szCs w:val="24"/>
          <w:highlight w:val="none"/>
        </w:rPr>
        <w:t>其他费用</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其他费用包括前期工作费、工程监理费、竣工验收费、项目管理费。</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highlight w:val="none"/>
        </w:rPr>
      </w:pPr>
      <w:r>
        <w:rPr>
          <w:rFonts w:hint="eastAsia" w:ascii="Times New Roman" w:hAnsi="Times New Roman" w:cs="Times New Roman"/>
          <w:color w:val="auto"/>
          <w:sz w:val="24"/>
          <w:szCs w:val="24"/>
          <w:highlight w:val="none"/>
          <w:lang w:val="en-US" w:eastAsia="zh-CN"/>
        </w:rPr>
        <w:t>a</w:t>
      </w:r>
      <w:r>
        <w:rPr>
          <w:rFonts w:hint="eastAsia"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前期工作费</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包括项目可研论证费、项目勘测与设计费、项目招标代理费。</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4"/>
          <w:szCs w:val="24"/>
          <w:highlight w:val="none"/>
        </w:rPr>
        <w:t>项目可研论证费以工程施工费作为计费基数，采用分档定额计费方式计算，各区间按内插法确定。</w:t>
      </w:r>
    </w:p>
    <w:p>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b/>
          <w:color w:val="auto"/>
          <w:sz w:val="21"/>
          <w:szCs w:val="21"/>
          <w:highlight w:val="none"/>
        </w:rPr>
      </w:pPr>
      <w:r>
        <w:rPr>
          <w:rFonts w:hint="default" w:ascii="黑体" w:hAnsi="黑体" w:eastAsia="黑体" w:cs="黑体"/>
          <w:b w:val="0"/>
          <w:bCs/>
          <w:color w:val="auto"/>
          <w:sz w:val="24"/>
          <w:szCs w:val="24"/>
          <w:highlight w:val="none"/>
        </w:rPr>
        <w:t>表</w:t>
      </w:r>
      <w:r>
        <w:rPr>
          <w:rFonts w:hint="default" w:ascii="黑体" w:hAnsi="黑体" w:eastAsia="黑体" w:cs="黑体"/>
          <w:b w:val="0"/>
          <w:bCs/>
          <w:color w:val="auto"/>
          <w:sz w:val="24"/>
          <w:szCs w:val="24"/>
          <w:highlight w:val="none"/>
          <w:lang w:val="en-US" w:eastAsia="zh-CN"/>
        </w:rPr>
        <w:t>6</w:t>
      </w:r>
      <w:r>
        <w:rPr>
          <w:rFonts w:hint="default" w:ascii="黑体" w:hAnsi="黑体" w:eastAsia="黑体" w:cs="黑体"/>
          <w:b w:val="0"/>
          <w:bCs/>
          <w:color w:val="auto"/>
          <w:sz w:val="24"/>
          <w:szCs w:val="24"/>
          <w:highlight w:val="none"/>
        </w:rPr>
        <w:t>-3  项目可研论证费计费标准</w:t>
      </w:r>
    </w:p>
    <w:tbl>
      <w:tblPr>
        <w:tblStyle w:val="9"/>
        <w:tblW w:w="0" w:type="auto"/>
        <w:jc w:val="center"/>
        <w:tblLayout w:type="fixed"/>
        <w:tblCellMar>
          <w:top w:w="0" w:type="dxa"/>
          <w:left w:w="108" w:type="dxa"/>
          <w:bottom w:w="0" w:type="dxa"/>
          <w:right w:w="108" w:type="dxa"/>
        </w:tblCellMar>
      </w:tblPr>
      <w:tblGrid>
        <w:gridCol w:w="1336"/>
        <w:gridCol w:w="3644"/>
        <w:gridCol w:w="3256"/>
      </w:tblGrid>
      <w:tr>
        <w:tblPrEx>
          <w:tblCellMar>
            <w:top w:w="0" w:type="dxa"/>
            <w:left w:w="108" w:type="dxa"/>
            <w:bottom w:w="0" w:type="dxa"/>
            <w:right w:w="108" w:type="dxa"/>
          </w:tblCellMar>
        </w:tblPrEx>
        <w:trPr>
          <w:trHeight w:val="340" w:hRule="atLeast"/>
          <w:jc w:val="center"/>
        </w:trPr>
        <w:tc>
          <w:tcPr>
            <w:tcW w:w="133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序号</w:t>
            </w:r>
          </w:p>
        </w:tc>
        <w:tc>
          <w:tcPr>
            <w:tcW w:w="364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计费基数（万元）</w:t>
            </w:r>
          </w:p>
        </w:tc>
        <w:tc>
          <w:tcPr>
            <w:tcW w:w="325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项目可研论证费（万元）</w:t>
            </w:r>
          </w:p>
        </w:tc>
      </w:tr>
      <w:tr>
        <w:tblPrEx>
          <w:tblCellMar>
            <w:top w:w="0" w:type="dxa"/>
            <w:left w:w="108" w:type="dxa"/>
            <w:bottom w:w="0" w:type="dxa"/>
            <w:right w:w="108" w:type="dxa"/>
          </w:tblCellMar>
        </w:tblPrEx>
        <w:trPr>
          <w:trHeight w:val="340" w:hRule="atLeast"/>
          <w:jc w:val="center"/>
        </w:trPr>
        <w:tc>
          <w:tcPr>
            <w:tcW w:w="1336" w:type="dxa"/>
            <w:tcBorders>
              <w:top w:val="nil"/>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w:t>
            </w:r>
          </w:p>
        </w:tc>
        <w:tc>
          <w:tcPr>
            <w:tcW w:w="3644"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≤180</w:t>
            </w:r>
          </w:p>
        </w:tc>
        <w:tc>
          <w:tcPr>
            <w:tcW w:w="3256"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2</w:t>
            </w:r>
          </w:p>
        </w:tc>
      </w:tr>
      <w:tr>
        <w:tblPrEx>
          <w:tblCellMar>
            <w:top w:w="0" w:type="dxa"/>
            <w:left w:w="108" w:type="dxa"/>
            <w:bottom w:w="0" w:type="dxa"/>
            <w:right w:w="108" w:type="dxa"/>
          </w:tblCellMar>
        </w:tblPrEx>
        <w:trPr>
          <w:trHeight w:val="340" w:hRule="atLeast"/>
          <w:jc w:val="center"/>
        </w:trPr>
        <w:tc>
          <w:tcPr>
            <w:tcW w:w="133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2</w:t>
            </w:r>
          </w:p>
        </w:tc>
        <w:tc>
          <w:tcPr>
            <w:tcW w:w="3644" w:type="dxa"/>
            <w:tcBorders>
              <w:top w:val="single" w:color="auto" w:sz="4"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500</w:t>
            </w:r>
          </w:p>
        </w:tc>
        <w:tc>
          <w:tcPr>
            <w:tcW w:w="3256" w:type="dxa"/>
            <w:tcBorders>
              <w:top w:val="single" w:color="auto" w:sz="4"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4</w:t>
            </w:r>
          </w:p>
        </w:tc>
      </w:tr>
      <w:tr>
        <w:tblPrEx>
          <w:tblCellMar>
            <w:top w:w="0" w:type="dxa"/>
            <w:left w:w="108" w:type="dxa"/>
            <w:bottom w:w="0" w:type="dxa"/>
            <w:right w:w="108" w:type="dxa"/>
          </w:tblCellMar>
        </w:tblPrEx>
        <w:trPr>
          <w:trHeight w:val="340" w:hRule="atLeast"/>
          <w:jc w:val="center"/>
        </w:trPr>
        <w:tc>
          <w:tcPr>
            <w:tcW w:w="133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3</w:t>
            </w:r>
          </w:p>
        </w:tc>
        <w:tc>
          <w:tcPr>
            <w:tcW w:w="3644" w:type="dxa"/>
            <w:tcBorders>
              <w:top w:val="single" w:color="auto" w:sz="4"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1000</w:t>
            </w:r>
          </w:p>
        </w:tc>
        <w:tc>
          <w:tcPr>
            <w:tcW w:w="3256" w:type="dxa"/>
            <w:tcBorders>
              <w:top w:val="single" w:color="auto" w:sz="4"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6</w:t>
            </w:r>
          </w:p>
        </w:tc>
      </w:tr>
      <w:tr>
        <w:tblPrEx>
          <w:tblCellMar>
            <w:top w:w="0" w:type="dxa"/>
            <w:left w:w="108" w:type="dxa"/>
            <w:bottom w:w="0" w:type="dxa"/>
            <w:right w:w="108" w:type="dxa"/>
          </w:tblCellMar>
        </w:tblPrEx>
        <w:trPr>
          <w:trHeight w:val="340" w:hRule="atLeast"/>
          <w:jc w:val="center"/>
        </w:trPr>
        <w:tc>
          <w:tcPr>
            <w:tcW w:w="133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4</w:t>
            </w:r>
          </w:p>
        </w:tc>
        <w:tc>
          <w:tcPr>
            <w:tcW w:w="3644" w:type="dxa"/>
            <w:tcBorders>
              <w:top w:val="single" w:color="auto" w:sz="4"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3000</w:t>
            </w:r>
          </w:p>
        </w:tc>
        <w:tc>
          <w:tcPr>
            <w:tcW w:w="3256" w:type="dxa"/>
            <w:tcBorders>
              <w:top w:val="single" w:color="auto" w:sz="4"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12</w:t>
            </w:r>
          </w:p>
        </w:tc>
      </w:tr>
      <w:tr>
        <w:tblPrEx>
          <w:tblCellMar>
            <w:top w:w="0" w:type="dxa"/>
            <w:left w:w="108" w:type="dxa"/>
            <w:bottom w:w="0" w:type="dxa"/>
            <w:right w:w="108" w:type="dxa"/>
          </w:tblCellMar>
        </w:tblPrEx>
        <w:trPr>
          <w:trHeight w:val="340" w:hRule="atLeast"/>
          <w:jc w:val="center"/>
        </w:trPr>
        <w:tc>
          <w:tcPr>
            <w:tcW w:w="133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5</w:t>
            </w:r>
          </w:p>
        </w:tc>
        <w:tc>
          <w:tcPr>
            <w:tcW w:w="3644" w:type="dxa"/>
            <w:tcBorders>
              <w:top w:val="single" w:color="auto" w:sz="4"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5000</w:t>
            </w:r>
          </w:p>
        </w:tc>
        <w:tc>
          <w:tcPr>
            <w:tcW w:w="3256" w:type="dxa"/>
            <w:tcBorders>
              <w:top w:val="single" w:color="auto" w:sz="4"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15</w:t>
            </w:r>
          </w:p>
        </w:tc>
      </w:tr>
      <w:tr>
        <w:tblPrEx>
          <w:tblCellMar>
            <w:top w:w="0" w:type="dxa"/>
            <w:left w:w="108" w:type="dxa"/>
            <w:bottom w:w="0" w:type="dxa"/>
            <w:right w:w="108" w:type="dxa"/>
          </w:tblCellMar>
        </w:tblPrEx>
        <w:trPr>
          <w:trHeight w:val="340" w:hRule="atLeast"/>
          <w:jc w:val="center"/>
        </w:trPr>
        <w:tc>
          <w:tcPr>
            <w:tcW w:w="133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6</w:t>
            </w:r>
          </w:p>
        </w:tc>
        <w:tc>
          <w:tcPr>
            <w:tcW w:w="3644" w:type="dxa"/>
            <w:tcBorders>
              <w:top w:val="single" w:color="auto" w:sz="4"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10000</w:t>
            </w:r>
          </w:p>
        </w:tc>
        <w:tc>
          <w:tcPr>
            <w:tcW w:w="3256" w:type="dxa"/>
            <w:tcBorders>
              <w:top w:val="single" w:color="auto" w:sz="4"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25</w:t>
            </w:r>
          </w:p>
        </w:tc>
      </w:tr>
    </w:tbl>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注：计费基数大于1亿元时，按计费基数的0.25%计取。</w:t>
      </w:r>
    </w:p>
    <w:p>
      <w:pPr>
        <w:wordWrap/>
        <w:spacing w:before="120" w:beforeLines="50" w:line="360" w:lineRule="auto"/>
        <w:ind w:firstLine="480" w:firstLineChars="20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项目勘测与设计费以工程施工费作为计费基数，采用分档定额计费方式计算，各区间按内插法确定。其中勘测费可按不超过工程施工费的1.5%单独计算，剩余部分可计为项目设计与预算编制费。</w:t>
      </w:r>
    </w:p>
    <w:p>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黑体" w:hAnsi="黑体" w:eastAsia="黑体" w:cs="黑体"/>
          <w:b w:val="0"/>
          <w:bCs/>
          <w:color w:val="auto"/>
          <w:sz w:val="24"/>
          <w:szCs w:val="24"/>
          <w:highlight w:val="none"/>
        </w:rPr>
      </w:pPr>
      <w:r>
        <w:rPr>
          <w:rFonts w:hint="default" w:ascii="黑体" w:hAnsi="黑体" w:eastAsia="黑体" w:cs="黑体"/>
          <w:b w:val="0"/>
          <w:bCs/>
          <w:color w:val="auto"/>
          <w:sz w:val="24"/>
          <w:szCs w:val="24"/>
          <w:highlight w:val="none"/>
        </w:rPr>
        <w:t>表</w:t>
      </w:r>
      <w:r>
        <w:rPr>
          <w:rFonts w:hint="default" w:ascii="黑体" w:hAnsi="黑体" w:eastAsia="黑体" w:cs="黑体"/>
          <w:b w:val="0"/>
          <w:bCs/>
          <w:color w:val="auto"/>
          <w:sz w:val="24"/>
          <w:szCs w:val="24"/>
          <w:highlight w:val="none"/>
          <w:lang w:val="en-US" w:eastAsia="zh-CN"/>
        </w:rPr>
        <w:t>6-4</w:t>
      </w:r>
      <w:r>
        <w:rPr>
          <w:rFonts w:hint="default" w:ascii="黑体" w:hAnsi="黑体" w:eastAsia="黑体" w:cs="黑体"/>
          <w:b w:val="0"/>
          <w:bCs/>
          <w:color w:val="auto"/>
          <w:sz w:val="24"/>
          <w:szCs w:val="24"/>
          <w:highlight w:val="none"/>
        </w:rPr>
        <w:t xml:space="preserve">  项目勘测与设计计费标准</w:t>
      </w:r>
    </w:p>
    <w:tbl>
      <w:tblPr>
        <w:tblStyle w:val="9"/>
        <w:tblW w:w="8306" w:type="dxa"/>
        <w:jc w:val="center"/>
        <w:tblLayout w:type="fixed"/>
        <w:tblCellMar>
          <w:top w:w="0" w:type="dxa"/>
          <w:left w:w="108" w:type="dxa"/>
          <w:bottom w:w="0" w:type="dxa"/>
          <w:right w:w="108" w:type="dxa"/>
        </w:tblCellMar>
      </w:tblPr>
      <w:tblGrid>
        <w:gridCol w:w="1300"/>
        <w:gridCol w:w="3719"/>
        <w:gridCol w:w="3287"/>
      </w:tblGrid>
      <w:tr>
        <w:tblPrEx>
          <w:tblCellMar>
            <w:top w:w="0" w:type="dxa"/>
            <w:left w:w="108" w:type="dxa"/>
            <w:bottom w:w="0" w:type="dxa"/>
            <w:right w:w="108" w:type="dxa"/>
          </w:tblCellMar>
        </w:tblPrEx>
        <w:trPr>
          <w:trHeight w:val="340" w:hRule="atLeast"/>
          <w:jc w:val="center"/>
        </w:trPr>
        <w:tc>
          <w:tcPr>
            <w:tcW w:w="13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序号</w:t>
            </w:r>
          </w:p>
        </w:tc>
        <w:tc>
          <w:tcPr>
            <w:tcW w:w="371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计费基数（万元）</w:t>
            </w:r>
          </w:p>
        </w:tc>
        <w:tc>
          <w:tcPr>
            <w:tcW w:w="328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项目勘测与设计计费（万元）</w:t>
            </w:r>
          </w:p>
        </w:tc>
      </w:tr>
      <w:tr>
        <w:tblPrEx>
          <w:tblCellMar>
            <w:top w:w="0" w:type="dxa"/>
            <w:left w:w="108" w:type="dxa"/>
            <w:bottom w:w="0" w:type="dxa"/>
            <w:right w:w="108" w:type="dxa"/>
          </w:tblCellMar>
        </w:tblPrEx>
        <w:trPr>
          <w:trHeight w:val="340" w:hRule="atLeast"/>
          <w:jc w:val="center"/>
        </w:trPr>
        <w:tc>
          <w:tcPr>
            <w:tcW w:w="1300" w:type="dxa"/>
            <w:tcBorders>
              <w:top w:val="nil"/>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w:t>
            </w:r>
          </w:p>
        </w:tc>
        <w:tc>
          <w:tcPr>
            <w:tcW w:w="3719"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≤180</w:t>
            </w:r>
          </w:p>
        </w:tc>
        <w:tc>
          <w:tcPr>
            <w:tcW w:w="3287"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7.5</w:t>
            </w:r>
          </w:p>
        </w:tc>
      </w:tr>
      <w:tr>
        <w:tblPrEx>
          <w:tblCellMar>
            <w:top w:w="0" w:type="dxa"/>
            <w:left w:w="108" w:type="dxa"/>
            <w:bottom w:w="0" w:type="dxa"/>
            <w:right w:w="108" w:type="dxa"/>
          </w:tblCellMar>
        </w:tblPrEx>
        <w:trPr>
          <w:trHeight w:val="340" w:hRule="atLeast"/>
          <w:jc w:val="center"/>
        </w:trPr>
        <w:tc>
          <w:tcPr>
            <w:tcW w:w="13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2</w:t>
            </w:r>
          </w:p>
        </w:tc>
        <w:tc>
          <w:tcPr>
            <w:tcW w:w="3719"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500</w:t>
            </w:r>
          </w:p>
        </w:tc>
        <w:tc>
          <w:tcPr>
            <w:tcW w:w="3287"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20</w:t>
            </w:r>
          </w:p>
        </w:tc>
      </w:tr>
      <w:tr>
        <w:tblPrEx>
          <w:tblCellMar>
            <w:top w:w="0" w:type="dxa"/>
            <w:left w:w="108" w:type="dxa"/>
            <w:bottom w:w="0" w:type="dxa"/>
            <w:right w:w="108" w:type="dxa"/>
          </w:tblCellMar>
        </w:tblPrEx>
        <w:trPr>
          <w:trHeight w:val="340" w:hRule="atLeast"/>
          <w:jc w:val="center"/>
        </w:trPr>
        <w:tc>
          <w:tcPr>
            <w:tcW w:w="13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3</w:t>
            </w:r>
          </w:p>
        </w:tc>
        <w:tc>
          <w:tcPr>
            <w:tcW w:w="3719"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1000</w:t>
            </w:r>
          </w:p>
        </w:tc>
        <w:tc>
          <w:tcPr>
            <w:tcW w:w="3287"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39</w:t>
            </w:r>
          </w:p>
        </w:tc>
      </w:tr>
      <w:tr>
        <w:tblPrEx>
          <w:tblCellMar>
            <w:top w:w="0" w:type="dxa"/>
            <w:left w:w="108" w:type="dxa"/>
            <w:bottom w:w="0" w:type="dxa"/>
            <w:right w:w="108" w:type="dxa"/>
          </w:tblCellMar>
        </w:tblPrEx>
        <w:trPr>
          <w:trHeight w:val="340" w:hRule="atLeast"/>
          <w:jc w:val="center"/>
        </w:trPr>
        <w:tc>
          <w:tcPr>
            <w:tcW w:w="13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4</w:t>
            </w:r>
          </w:p>
        </w:tc>
        <w:tc>
          <w:tcPr>
            <w:tcW w:w="3719"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3000</w:t>
            </w:r>
          </w:p>
        </w:tc>
        <w:tc>
          <w:tcPr>
            <w:tcW w:w="3287"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93</w:t>
            </w:r>
          </w:p>
        </w:tc>
      </w:tr>
      <w:tr>
        <w:tblPrEx>
          <w:tblCellMar>
            <w:top w:w="0" w:type="dxa"/>
            <w:left w:w="108" w:type="dxa"/>
            <w:bottom w:w="0" w:type="dxa"/>
            <w:right w:w="108" w:type="dxa"/>
          </w:tblCellMar>
        </w:tblPrEx>
        <w:trPr>
          <w:trHeight w:val="340" w:hRule="atLeast"/>
          <w:jc w:val="center"/>
        </w:trPr>
        <w:tc>
          <w:tcPr>
            <w:tcW w:w="13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5</w:t>
            </w:r>
          </w:p>
        </w:tc>
        <w:tc>
          <w:tcPr>
            <w:tcW w:w="3719"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5000</w:t>
            </w:r>
          </w:p>
        </w:tc>
        <w:tc>
          <w:tcPr>
            <w:tcW w:w="3287"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145</w:t>
            </w:r>
          </w:p>
        </w:tc>
      </w:tr>
      <w:tr>
        <w:tblPrEx>
          <w:tblCellMar>
            <w:top w:w="0" w:type="dxa"/>
            <w:left w:w="108" w:type="dxa"/>
            <w:bottom w:w="0" w:type="dxa"/>
            <w:right w:w="108" w:type="dxa"/>
          </w:tblCellMar>
        </w:tblPrEx>
        <w:trPr>
          <w:trHeight w:val="340" w:hRule="atLeast"/>
          <w:jc w:val="center"/>
        </w:trPr>
        <w:tc>
          <w:tcPr>
            <w:tcW w:w="13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6</w:t>
            </w:r>
          </w:p>
        </w:tc>
        <w:tc>
          <w:tcPr>
            <w:tcW w:w="3719"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10000</w:t>
            </w:r>
          </w:p>
        </w:tc>
        <w:tc>
          <w:tcPr>
            <w:tcW w:w="3287"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270</w:t>
            </w:r>
          </w:p>
        </w:tc>
      </w:tr>
    </w:tbl>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val="0"/>
          <w:bCs w:val="0"/>
          <w:color w:val="auto"/>
          <w:sz w:val="21"/>
          <w:szCs w:val="21"/>
          <w:highlight w:val="none"/>
        </w:rPr>
        <w:t>注：计费基数大于1亿元时，按计费基数的2.70%计取。</w:t>
      </w:r>
    </w:p>
    <w:p>
      <w:pPr>
        <w:wordWrap/>
        <w:spacing w:line="360" w:lineRule="auto"/>
        <w:ind w:firstLine="480" w:firstLineChars="20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项目招标代理费以工程施工费作为计费基数，采用差额定率累进法计算。</w:t>
      </w:r>
    </w:p>
    <w:p>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黑体" w:hAnsi="黑体" w:eastAsia="黑体" w:cs="黑体"/>
          <w:b w:val="0"/>
          <w:bCs/>
          <w:color w:val="auto"/>
          <w:sz w:val="24"/>
          <w:szCs w:val="24"/>
          <w:highlight w:val="none"/>
        </w:rPr>
      </w:pPr>
      <w:r>
        <w:rPr>
          <w:rFonts w:hint="default" w:ascii="黑体" w:hAnsi="黑体" w:eastAsia="黑体" w:cs="黑体"/>
          <w:b w:val="0"/>
          <w:bCs/>
          <w:color w:val="auto"/>
          <w:sz w:val="24"/>
          <w:szCs w:val="24"/>
          <w:highlight w:val="none"/>
        </w:rPr>
        <w:t>表</w:t>
      </w:r>
      <w:r>
        <w:rPr>
          <w:rFonts w:hint="default" w:ascii="黑体" w:hAnsi="黑体" w:eastAsia="黑体" w:cs="黑体"/>
          <w:b w:val="0"/>
          <w:bCs/>
          <w:color w:val="auto"/>
          <w:sz w:val="24"/>
          <w:szCs w:val="24"/>
          <w:highlight w:val="none"/>
          <w:lang w:val="en-US" w:eastAsia="zh-CN"/>
        </w:rPr>
        <w:t>6-5</w:t>
      </w:r>
      <w:r>
        <w:rPr>
          <w:rFonts w:hint="default" w:ascii="黑体" w:hAnsi="黑体" w:eastAsia="黑体" w:cs="黑体"/>
          <w:b w:val="0"/>
          <w:bCs/>
          <w:color w:val="auto"/>
          <w:sz w:val="24"/>
          <w:szCs w:val="24"/>
          <w:highlight w:val="none"/>
        </w:rPr>
        <w:t xml:space="preserve">  项目招标代理费计费标准</w:t>
      </w:r>
    </w:p>
    <w:tbl>
      <w:tblPr>
        <w:tblStyle w:val="9"/>
        <w:tblW w:w="8318" w:type="dxa"/>
        <w:jc w:val="center"/>
        <w:tblLayout w:type="fixed"/>
        <w:tblCellMar>
          <w:top w:w="0" w:type="dxa"/>
          <w:left w:w="108" w:type="dxa"/>
          <w:bottom w:w="0" w:type="dxa"/>
          <w:right w:w="108" w:type="dxa"/>
        </w:tblCellMar>
      </w:tblPr>
      <w:tblGrid>
        <w:gridCol w:w="675"/>
        <w:gridCol w:w="1512"/>
        <w:gridCol w:w="990"/>
        <w:gridCol w:w="1785"/>
        <w:gridCol w:w="3356"/>
      </w:tblGrid>
      <w:tr>
        <w:tblPrEx>
          <w:tblCellMar>
            <w:top w:w="0" w:type="dxa"/>
            <w:left w:w="108" w:type="dxa"/>
            <w:bottom w:w="0" w:type="dxa"/>
            <w:right w:w="108" w:type="dxa"/>
          </w:tblCellMar>
        </w:tblPrEx>
        <w:trPr>
          <w:trHeight w:val="340" w:hRule="atLeast"/>
          <w:jc w:val="center"/>
        </w:trPr>
        <w:tc>
          <w:tcPr>
            <w:tcW w:w="675" w:type="dxa"/>
            <w:vMerge w:val="restart"/>
            <w:tcBorders>
              <w:top w:val="single" w:color="auto" w:sz="4" w:space="0"/>
              <w:left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序号</w:t>
            </w:r>
          </w:p>
        </w:tc>
        <w:tc>
          <w:tcPr>
            <w:tcW w:w="1512" w:type="dxa"/>
            <w:vMerge w:val="restart"/>
            <w:tcBorders>
              <w:top w:val="single" w:color="auto" w:sz="4" w:space="0"/>
              <w:left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计费基础</w:t>
            </w:r>
          </w:p>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（万元）</w:t>
            </w:r>
          </w:p>
        </w:tc>
        <w:tc>
          <w:tcPr>
            <w:tcW w:w="990" w:type="dxa"/>
            <w:vMerge w:val="restart"/>
            <w:tcBorders>
              <w:top w:val="single" w:color="auto" w:sz="4" w:space="0"/>
              <w:left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费率</w:t>
            </w:r>
          </w:p>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w:t>
            </w:r>
          </w:p>
        </w:tc>
        <w:tc>
          <w:tcPr>
            <w:tcW w:w="514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算例</w:t>
            </w:r>
          </w:p>
        </w:tc>
      </w:tr>
      <w:tr>
        <w:tblPrEx>
          <w:tblCellMar>
            <w:top w:w="0" w:type="dxa"/>
            <w:left w:w="108" w:type="dxa"/>
            <w:bottom w:w="0" w:type="dxa"/>
            <w:right w:w="108" w:type="dxa"/>
          </w:tblCellMar>
        </w:tblPrEx>
        <w:trPr>
          <w:trHeight w:val="340" w:hRule="atLeast"/>
          <w:jc w:val="center"/>
        </w:trPr>
        <w:tc>
          <w:tcPr>
            <w:tcW w:w="675" w:type="dxa"/>
            <w:vMerge w:val="continue"/>
            <w:tcBorders>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p>
        </w:tc>
        <w:tc>
          <w:tcPr>
            <w:tcW w:w="1512" w:type="dxa"/>
            <w:vMerge w:val="continue"/>
            <w:tcBorders>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p>
        </w:tc>
        <w:tc>
          <w:tcPr>
            <w:tcW w:w="990" w:type="dxa"/>
            <w:vMerge w:val="continue"/>
            <w:tcBorders>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p>
        </w:tc>
        <w:tc>
          <w:tcPr>
            <w:tcW w:w="178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计费基础（万元）</w:t>
            </w:r>
          </w:p>
        </w:tc>
        <w:tc>
          <w:tcPr>
            <w:tcW w:w="335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项目招标代理费（万元）</w:t>
            </w:r>
          </w:p>
        </w:tc>
      </w:tr>
      <w:tr>
        <w:tblPrEx>
          <w:tblCellMar>
            <w:top w:w="0" w:type="dxa"/>
            <w:left w:w="108" w:type="dxa"/>
            <w:bottom w:w="0" w:type="dxa"/>
            <w:right w:w="108" w:type="dxa"/>
          </w:tblCellMar>
        </w:tblPrEx>
        <w:trPr>
          <w:trHeight w:val="340" w:hRule="atLeast"/>
          <w:jc w:val="center"/>
        </w:trPr>
        <w:tc>
          <w:tcPr>
            <w:tcW w:w="675" w:type="dxa"/>
            <w:tcBorders>
              <w:top w:val="nil"/>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w:t>
            </w:r>
          </w:p>
        </w:tc>
        <w:tc>
          <w:tcPr>
            <w:tcW w:w="1512"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≤500</w:t>
            </w:r>
          </w:p>
        </w:tc>
        <w:tc>
          <w:tcPr>
            <w:tcW w:w="990"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0.5</w:t>
            </w:r>
          </w:p>
        </w:tc>
        <w:tc>
          <w:tcPr>
            <w:tcW w:w="1785"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500</w:t>
            </w:r>
          </w:p>
        </w:tc>
        <w:tc>
          <w:tcPr>
            <w:tcW w:w="3356"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500×0.5%=2.5</w:t>
            </w:r>
          </w:p>
        </w:tc>
      </w:tr>
      <w:tr>
        <w:tblPrEx>
          <w:tblCellMar>
            <w:top w:w="0" w:type="dxa"/>
            <w:left w:w="108" w:type="dxa"/>
            <w:bottom w:w="0" w:type="dxa"/>
            <w:right w:w="108" w:type="dxa"/>
          </w:tblCellMar>
        </w:tblPrEx>
        <w:trPr>
          <w:trHeight w:val="340" w:hRule="atLeast"/>
          <w:jc w:val="center"/>
        </w:trPr>
        <w:tc>
          <w:tcPr>
            <w:tcW w:w="675" w:type="dxa"/>
            <w:tcBorders>
              <w:top w:val="nil"/>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2</w:t>
            </w:r>
          </w:p>
        </w:tc>
        <w:tc>
          <w:tcPr>
            <w:tcW w:w="1512"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500-1000</w:t>
            </w:r>
          </w:p>
        </w:tc>
        <w:tc>
          <w:tcPr>
            <w:tcW w:w="990"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0.4</w:t>
            </w:r>
          </w:p>
        </w:tc>
        <w:tc>
          <w:tcPr>
            <w:tcW w:w="1785"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1000</w:t>
            </w:r>
          </w:p>
        </w:tc>
        <w:tc>
          <w:tcPr>
            <w:tcW w:w="3356"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2.5+（1000-500）×0.4%=4.5</w:t>
            </w:r>
          </w:p>
        </w:tc>
      </w:tr>
      <w:tr>
        <w:tblPrEx>
          <w:tblCellMar>
            <w:top w:w="0" w:type="dxa"/>
            <w:left w:w="108" w:type="dxa"/>
            <w:bottom w:w="0" w:type="dxa"/>
            <w:right w:w="108" w:type="dxa"/>
          </w:tblCellMar>
        </w:tblPrEx>
        <w:trPr>
          <w:trHeight w:val="34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3</w:t>
            </w:r>
          </w:p>
        </w:tc>
        <w:tc>
          <w:tcPr>
            <w:tcW w:w="1512"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1000-3000</w:t>
            </w:r>
          </w:p>
        </w:tc>
        <w:tc>
          <w:tcPr>
            <w:tcW w:w="990"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0.3</w:t>
            </w:r>
          </w:p>
        </w:tc>
        <w:tc>
          <w:tcPr>
            <w:tcW w:w="1785"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3000</w:t>
            </w:r>
          </w:p>
        </w:tc>
        <w:tc>
          <w:tcPr>
            <w:tcW w:w="335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4.5+（3000-1000）×0.3%=10.5</w:t>
            </w:r>
          </w:p>
        </w:tc>
      </w:tr>
      <w:tr>
        <w:tblPrEx>
          <w:tblCellMar>
            <w:top w:w="0" w:type="dxa"/>
            <w:left w:w="108" w:type="dxa"/>
            <w:bottom w:w="0" w:type="dxa"/>
            <w:right w:w="108" w:type="dxa"/>
          </w:tblCellMar>
        </w:tblPrEx>
        <w:trPr>
          <w:trHeight w:val="34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4</w:t>
            </w:r>
          </w:p>
        </w:tc>
        <w:tc>
          <w:tcPr>
            <w:tcW w:w="1512"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3000-5000</w:t>
            </w:r>
          </w:p>
        </w:tc>
        <w:tc>
          <w:tcPr>
            <w:tcW w:w="990"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0.2</w:t>
            </w:r>
          </w:p>
        </w:tc>
        <w:tc>
          <w:tcPr>
            <w:tcW w:w="1785"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5000</w:t>
            </w:r>
          </w:p>
        </w:tc>
        <w:tc>
          <w:tcPr>
            <w:tcW w:w="335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10.5+（5000-3000）×0.2%=13.5</w:t>
            </w:r>
          </w:p>
        </w:tc>
      </w:tr>
      <w:tr>
        <w:tblPrEx>
          <w:tblCellMar>
            <w:top w:w="0" w:type="dxa"/>
            <w:left w:w="108" w:type="dxa"/>
            <w:bottom w:w="0" w:type="dxa"/>
            <w:right w:w="108" w:type="dxa"/>
          </w:tblCellMar>
        </w:tblPrEx>
        <w:trPr>
          <w:trHeight w:val="34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5</w:t>
            </w:r>
          </w:p>
        </w:tc>
        <w:tc>
          <w:tcPr>
            <w:tcW w:w="1512"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5000-10000</w:t>
            </w:r>
          </w:p>
        </w:tc>
        <w:tc>
          <w:tcPr>
            <w:tcW w:w="990"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0.1</w:t>
            </w:r>
          </w:p>
        </w:tc>
        <w:tc>
          <w:tcPr>
            <w:tcW w:w="1785"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10000</w:t>
            </w:r>
          </w:p>
        </w:tc>
        <w:tc>
          <w:tcPr>
            <w:tcW w:w="335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13.5+（10000-5000）×0.1%=18.5</w:t>
            </w:r>
          </w:p>
        </w:tc>
      </w:tr>
      <w:tr>
        <w:tblPrEx>
          <w:tblCellMar>
            <w:top w:w="0" w:type="dxa"/>
            <w:left w:w="108" w:type="dxa"/>
            <w:bottom w:w="0" w:type="dxa"/>
            <w:right w:w="108" w:type="dxa"/>
          </w:tblCellMar>
        </w:tblPrEx>
        <w:trPr>
          <w:trHeight w:val="34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6</w:t>
            </w:r>
          </w:p>
        </w:tc>
        <w:tc>
          <w:tcPr>
            <w:tcW w:w="1512"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10000以上</w:t>
            </w:r>
          </w:p>
        </w:tc>
        <w:tc>
          <w:tcPr>
            <w:tcW w:w="990"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0.05</w:t>
            </w:r>
          </w:p>
        </w:tc>
        <w:tc>
          <w:tcPr>
            <w:tcW w:w="1785"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15000</w:t>
            </w:r>
          </w:p>
        </w:tc>
        <w:tc>
          <w:tcPr>
            <w:tcW w:w="335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18.5+（15000-10000）×0.05%=21</w:t>
            </w:r>
          </w:p>
        </w:tc>
      </w:tr>
    </w:tbl>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1"/>
          <w:szCs w:val="21"/>
          <w:highlight w:val="none"/>
        </w:rPr>
        <w:t>注：计费基数小于100万元时，按计费基数的1.0%计取。</w:t>
      </w:r>
    </w:p>
    <w:p>
      <w:pPr>
        <w:wordWrap/>
        <w:spacing w:line="360" w:lineRule="auto"/>
        <w:ind w:firstLine="480" w:firstLineChars="200"/>
        <w:jc w:val="both"/>
        <w:rPr>
          <w:rFonts w:hint="default" w:ascii="Times New Roman" w:hAnsi="Times New Roman" w:eastAsia="宋体" w:cs="Times New Roman"/>
          <w:color w:val="auto"/>
          <w:sz w:val="24"/>
          <w:szCs w:val="24"/>
          <w:highlight w:val="none"/>
        </w:rPr>
      </w:pPr>
      <w:r>
        <w:rPr>
          <w:rFonts w:hint="eastAsia" w:ascii="Times New Roman" w:hAnsi="Times New Roman" w:cs="Times New Roman"/>
          <w:color w:val="auto"/>
          <w:sz w:val="24"/>
          <w:szCs w:val="24"/>
          <w:highlight w:val="none"/>
          <w:lang w:val="en-US" w:eastAsia="zh-CN"/>
        </w:rPr>
        <w:t>b</w:t>
      </w:r>
      <w:r>
        <w:rPr>
          <w:rFonts w:hint="eastAsia"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工程监理费</w:t>
      </w:r>
    </w:p>
    <w:p>
      <w:pPr>
        <w:wordWrap/>
        <w:spacing w:line="360" w:lineRule="auto"/>
        <w:ind w:firstLine="480"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以工程施工费作为计费基数，采用分档定额计算方式计算，各区间按内插法确定。</w:t>
      </w:r>
    </w:p>
    <w:p>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黑体" w:hAnsi="黑体" w:eastAsia="黑体" w:cs="黑体"/>
          <w:b w:val="0"/>
          <w:bCs/>
          <w:color w:val="auto"/>
          <w:sz w:val="24"/>
          <w:szCs w:val="24"/>
          <w:highlight w:val="none"/>
        </w:rPr>
      </w:pPr>
      <w:r>
        <w:rPr>
          <w:rFonts w:hint="default" w:ascii="黑体" w:hAnsi="黑体" w:eastAsia="黑体" w:cs="黑体"/>
          <w:b w:val="0"/>
          <w:bCs/>
          <w:color w:val="auto"/>
          <w:sz w:val="24"/>
          <w:szCs w:val="24"/>
          <w:highlight w:val="none"/>
        </w:rPr>
        <w:t>表</w:t>
      </w:r>
      <w:r>
        <w:rPr>
          <w:rFonts w:hint="default" w:ascii="黑体" w:hAnsi="黑体" w:eastAsia="黑体" w:cs="黑体"/>
          <w:b w:val="0"/>
          <w:bCs/>
          <w:color w:val="auto"/>
          <w:sz w:val="24"/>
          <w:szCs w:val="24"/>
          <w:highlight w:val="none"/>
          <w:lang w:val="en-US" w:eastAsia="zh-CN"/>
        </w:rPr>
        <w:t>6-6</w:t>
      </w:r>
      <w:r>
        <w:rPr>
          <w:rFonts w:hint="default" w:ascii="黑体" w:hAnsi="黑体" w:eastAsia="黑体" w:cs="黑体"/>
          <w:b w:val="0"/>
          <w:bCs/>
          <w:color w:val="auto"/>
          <w:sz w:val="24"/>
          <w:szCs w:val="24"/>
          <w:highlight w:val="none"/>
        </w:rPr>
        <w:t xml:space="preserve"> 工程监理费计费标准</w:t>
      </w:r>
    </w:p>
    <w:tbl>
      <w:tblPr>
        <w:tblStyle w:val="9"/>
        <w:tblW w:w="8385" w:type="dxa"/>
        <w:jc w:val="center"/>
        <w:tblLayout w:type="fixed"/>
        <w:tblCellMar>
          <w:top w:w="0" w:type="dxa"/>
          <w:left w:w="108" w:type="dxa"/>
          <w:bottom w:w="0" w:type="dxa"/>
          <w:right w:w="108" w:type="dxa"/>
        </w:tblCellMar>
      </w:tblPr>
      <w:tblGrid>
        <w:gridCol w:w="1215"/>
        <w:gridCol w:w="4522"/>
        <w:gridCol w:w="2648"/>
      </w:tblGrid>
      <w:tr>
        <w:tblPrEx>
          <w:tblCellMar>
            <w:top w:w="0" w:type="dxa"/>
            <w:left w:w="108" w:type="dxa"/>
            <w:bottom w:w="0" w:type="dxa"/>
            <w:right w:w="108" w:type="dxa"/>
          </w:tblCellMar>
        </w:tblPrEx>
        <w:trPr>
          <w:trHeight w:val="340"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序号</w:t>
            </w:r>
          </w:p>
        </w:tc>
        <w:tc>
          <w:tcPr>
            <w:tcW w:w="45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计费基数（万元）</w:t>
            </w:r>
          </w:p>
        </w:tc>
        <w:tc>
          <w:tcPr>
            <w:tcW w:w="264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工程监理费（万元）</w:t>
            </w:r>
          </w:p>
        </w:tc>
      </w:tr>
      <w:tr>
        <w:tblPrEx>
          <w:tblCellMar>
            <w:top w:w="0" w:type="dxa"/>
            <w:left w:w="108" w:type="dxa"/>
            <w:bottom w:w="0" w:type="dxa"/>
            <w:right w:w="108" w:type="dxa"/>
          </w:tblCellMar>
        </w:tblPrEx>
        <w:trPr>
          <w:trHeight w:val="340" w:hRule="atLeast"/>
          <w:jc w:val="center"/>
        </w:trPr>
        <w:tc>
          <w:tcPr>
            <w:tcW w:w="1215" w:type="dxa"/>
            <w:tcBorders>
              <w:top w:val="nil"/>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w:t>
            </w:r>
          </w:p>
        </w:tc>
        <w:tc>
          <w:tcPr>
            <w:tcW w:w="4522"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≤180</w:t>
            </w:r>
          </w:p>
        </w:tc>
        <w:tc>
          <w:tcPr>
            <w:tcW w:w="2648"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4</w:t>
            </w:r>
          </w:p>
        </w:tc>
      </w:tr>
      <w:tr>
        <w:tblPrEx>
          <w:tblCellMar>
            <w:top w:w="0" w:type="dxa"/>
            <w:left w:w="108" w:type="dxa"/>
            <w:bottom w:w="0" w:type="dxa"/>
            <w:right w:w="108" w:type="dxa"/>
          </w:tblCellMar>
        </w:tblPrEx>
        <w:trPr>
          <w:trHeight w:val="340"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2</w:t>
            </w:r>
          </w:p>
        </w:tc>
        <w:tc>
          <w:tcPr>
            <w:tcW w:w="4522"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500</w:t>
            </w:r>
          </w:p>
        </w:tc>
        <w:tc>
          <w:tcPr>
            <w:tcW w:w="2648"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10</w:t>
            </w:r>
          </w:p>
        </w:tc>
      </w:tr>
      <w:tr>
        <w:tblPrEx>
          <w:tblCellMar>
            <w:top w:w="0" w:type="dxa"/>
            <w:left w:w="108" w:type="dxa"/>
            <w:bottom w:w="0" w:type="dxa"/>
            <w:right w:w="108" w:type="dxa"/>
          </w:tblCellMar>
        </w:tblPrEx>
        <w:trPr>
          <w:trHeight w:val="340"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3</w:t>
            </w:r>
          </w:p>
        </w:tc>
        <w:tc>
          <w:tcPr>
            <w:tcW w:w="4522"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1000</w:t>
            </w:r>
          </w:p>
        </w:tc>
        <w:tc>
          <w:tcPr>
            <w:tcW w:w="2648"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18</w:t>
            </w:r>
          </w:p>
        </w:tc>
      </w:tr>
      <w:tr>
        <w:tblPrEx>
          <w:tblCellMar>
            <w:top w:w="0" w:type="dxa"/>
            <w:left w:w="108" w:type="dxa"/>
            <w:bottom w:w="0" w:type="dxa"/>
            <w:right w:w="108" w:type="dxa"/>
          </w:tblCellMar>
        </w:tblPrEx>
        <w:trPr>
          <w:trHeight w:val="340"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4</w:t>
            </w:r>
          </w:p>
        </w:tc>
        <w:tc>
          <w:tcPr>
            <w:tcW w:w="4522"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3000</w:t>
            </w:r>
          </w:p>
        </w:tc>
        <w:tc>
          <w:tcPr>
            <w:tcW w:w="2648"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45</w:t>
            </w:r>
          </w:p>
        </w:tc>
      </w:tr>
      <w:tr>
        <w:tblPrEx>
          <w:tblCellMar>
            <w:top w:w="0" w:type="dxa"/>
            <w:left w:w="108" w:type="dxa"/>
            <w:bottom w:w="0" w:type="dxa"/>
            <w:right w:w="108" w:type="dxa"/>
          </w:tblCellMar>
        </w:tblPrEx>
        <w:trPr>
          <w:trHeight w:val="340"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5</w:t>
            </w:r>
          </w:p>
        </w:tc>
        <w:tc>
          <w:tcPr>
            <w:tcW w:w="4522"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5000</w:t>
            </w:r>
          </w:p>
        </w:tc>
        <w:tc>
          <w:tcPr>
            <w:tcW w:w="2648"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70</w:t>
            </w:r>
          </w:p>
        </w:tc>
      </w:tr>
      <w:tr>
        <w:tblPrEx>
          <w:tblCellMar>
            <w:top w:w="0" w:type="dxa"/>
            <w:left w:w="108" w:type="dxa"/>
            <w:bottom w:w="0" w:type="dxa"/>
            <w:right w:w="108" w:type="dxa"/>
          </w:tblCellMar>
        </w:tblPrEx>
        <w:trPr>
          <w:trHeight w:val="340"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6</w:t>
            </w:r>
          </w:p>
        </w:tc>
        <w:tc>
          <w:tcPr>
            <w:tcW w:w="4522"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10000</w:t>
            </w:r>
          </w:p>
        </w:tc>
        <w:tc>
          <w:tcPr>
            <w:tcW w:w="2648"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120</w:t>
            </w:r>
          </w:p>
        </w:tc>
      </w:tr>
    </w:tbl>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注：计费基数大于1亿元时，按计费基数的1.20%计取。</w:t>
      </w:r>
    </w:p>
    <w:p>
      <w:pPr>
        <w:wordWrap/>
        <w:spacing w:line="360" w:lineRule="auto"/>
        <w:ind w:firstLine="480" w:firstLineChars="200"/>
        <w:jc w:val="left"/>
        <w:rPr>
          <w:rFonts w:hint="default" w:ascii="Times New Roman" w:hAnsi="Times New Roman" w:eastAsia="宋体" w:cs="Times New Roman"/>
          <w:color w:val="auto"/>
          <w:sz w:val="24"/>
          <w:szCs w:val="24"/>
          <w:highlight w:val="none"/>
        </w:rPr>
      </w:pPr>
      <w:r>
        <w:rPr>
          <w:rFonts w:hint="eastAsia" w:ascii="Times New Roman" w:hAnsi="Times New Roman" w:cs="Times New Roman"/>
          <w:color w:val="auto"/>
          <w:sz w:val="24"/>
          <w:szCs w:val="24"/>
          <w:highlight w:val="none"/>
          <w:lang w:val="en-US" w:eastAsia="zh-CN"/>
        </w:rPr>
        <w:t>c</w:t>
      </w:r>
      <w:r>
        <w:rPr>
          <w:rFonts w:hint="eastAsia"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竣工验收费</w:t>
      </w:r>
    </w:p>
    <w:p>
      <w:pPr>
        <w:wordWrap/>
        <w:spacing w:line="360" w:lineRule="auto"/>
        <w:ind w:firstLine="480" w:firstLineChars="20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竣工验收费包括工程验收费、项目决算编制与审计费，工程验收费以工程施工费作为计费基数，采用差额定率累进法计算。</w:t>
      </w:r>
    </w:p>
    <w:p>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黑体" w:hAnsi="黑体" w:eastAsia="黑体" w:cs="黑体"/>
          <w:b w:val="0"/>
          <w:bCs/>
          <w:color w:val="auto"/>
          <w:sz w:val="24"/>
          <w:szCs w:val="24"/>
          <w:highlight w:val="none"/>
        </w:rPr>
      </w:pPr>
      <w:r>
        <w:rPr>
          <w:rFonts w:hint="default" w:ascii="黑体" w:hAnsi="黑体" w:eastAsia="黑体" w:cs="黑体"/>
          <w:b w:val="0"/>
          <w:bCs/>
          <w:color w:val="auto"/>
          <w:sz w:val="24"/>
          <w:szCs w:val="24"/>
          <w:highlight w:val="none"/>
        </w:rPr>
        <w:t>表</w:t>
      </w:r>
      <w:r>
        <w:rPr>
          <w:rFonts w:hint="default" w:ascii="黑体" w:hAnsi="黑体" w:eastAsia="黑体" w:cs="黑体"/>
          <w:b w:val="0"/>
          <w:bCs/>
          <w:color w:val="auto"/>
          <w:sz w:val="24"/>
          <w:szCs w:val="24"/>
          <w:highlight w:val="none"/>
          <w:lang w:val="en-US" w:eastAsia="zh-CN"/>
        </w:rPr>
        <w:t>6-7</w:t>
      </w:r>
      <w:r>
        <w:rPr>
          <w:rFonts w:hint="default" w:ascii="黑体" w:hAnsi="黑体" w:eastAsia="黑体" w:cs="黑体"/>
          <w:b w:val="0"/>
          <w:bCs/>
          <w:color w:val="auto"/>
          <w:sz w:val="24"/>
          <w:szCs w:val="24"/>
          <w:highlight w:val="none"/>
        </w:rPr>
        <w:t xml:space="preserve"> 工程验收费计费标准</w:t>
      </w:r>
    </w:p>
    <w:tbl>
      <w:tblPr>
        <w:tblStyle w:val="9"/>
        <w:tblW w:w="8409" w:type="dxa"/>
        <w:jc w:val="center"/>
        <w:tblLayout w:type="fixed"/>
        <w:tblCellMar>
          <w:top w:w="0" w:type="dxa"/>
          <w:left w:w="108" w:type="dxa"/>
          <w:bottom w:w="0" w:type="dxa"/>
          <w:right w:w="108" w:type="dxa"/>
        </w:tblCellMar>
      </w:tblPr>
      <w:tblGrid>
        <w:gridCol w:w="618"/>
        <w:gridCol w:w="1573"/>
        <w:gridCol w:w="1272"/>
        <w:gridCol w:w="1713"/>
        <w:gridCol w:w="3233"/>
      </w:tblGrid>
      <w:tr>
        <w:tblPrEx>
          <w:tblCellMar>
            <w:top w:w="0" w:type="dxa"/>
            <w:left w:w="108" w:type="dxa"/>
            <w:bottom w:w="0" w:type="dxa"/>
            <w:right w:w="108" w:type="dxa"/>
          </w:tblCellMar>
        </w:tblPrEx>
        <w:trPr>
          <w:trHeight w:val="340" w:hRule="atLeast"/>
          <w:jc w:val="center"/>
        </w:trPr>
        <w:tc>
          <w:tcPr>
            <w:tcW w:w="618" w:type="dxa"/>
            <w:vMerge w:val="restart"/>
            <w:tcBorders>
              <w:top w:val="single" w:color="auto" w:sz="4" w:space="0"/>
              <w:left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序号</w:t>
            </w:r>
          </w:p>
        </w:tc>
        <w:tc>
          <w:tcPr>
            <w:tcW w:w="1573" w:type="dxa"/>
            <w:vMerge w:val="restart"/>
            <w:tcBorders>
              <w:top w:val="single" w:color="auto" w:sz="4" w:space="0"/>
              <w:left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计费基础（万元）</w:t>
            </w:r>
          </w:p>
        </w:tc>
        <w:tc>
          <w:tcPr>
            <w:tcW w:w="1272" w:type="dxa"/>
            <w:vMerge w:val="restart"/>
            <w:tcBorders>
              <w:top w:val="single" w:color="auto" w:sz="4" w:space="0"/>
              <w:left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费率（%）</w:t>
            </w:r>
          </w:p>
        </w:tc>
        <w:tc>
          <w:tcPr>
            <w:tcW w:w="494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算例</w:t>
            </w:r>
          </w:p>
        </w:tc>
      </w:tr>
      <w:tr>
        <w:tblPrEx>
          <w:tblCellMar>
            <w:top w:w="0" w:type="dxa"/>
            <w:left w:w="108" w:type="dxa"/>
            <w:bottom w:w="0" w:type="dxa"/>
            <w:right w:w="108" w:type="dxa"/>
          </w:tblCellMar>
        </w:tblPrEx>
        <w:trPr>
          <w:trHeight w:val="340" w:hRule="atLeast"/>
          <w:jc w:val="center"/>
        </w:trPr>
        <w:tc>
          <w:tcPr>
            <w:tcW w:w="618" w:type="dxa"/>
            <w:vMerge w:val="continue"/>
            <w:tcBorders>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p>
        </w:tc>
        <w:tc>
          <w:tcPr>
            <w:tcW w:w="1573" w:type="dxa"/>
            <w:vMerge w:val="continue"/>
            <w:tcBorders>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p>
        </w:tc>
        <w:tc>
          <w:tcPr>
            <w:tcW w:w="1272" w:type="dxa"/>
            <w:vMerge w:val="continue"/>
            <w:tcBorders>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p>
        </w:tc>
        <w:tc>
          <w:tcPr>
            <w:tcW w:w="171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计费基础（万元）</w:t>
            </w:r>
          </w:p>
        </w:tc>
        <w:tc>
          <w:tcPr>
            <w:tcW w:w="323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工程验收费（万元）</w:t>
            </w:r>
          </w:p>
        </w:tc>
      </w:tr>
      <w:tr>
        <w:tblPrEx>
          <w:tblCellMar>
            <w:top w:w="0" w:type="dxa"/>
            <w:left w:w="108" w:type="dxa"/>
            <w:bottom w:w="0" w:type="dxa"/>
            <w:right w:w="108" w:type="dxa"/>
          </w:tblCellMar>
        </w:tblPrEx>
        <w:trPr>
          <w:trHeight w:val="340" w:hRule="atLeast"/>
          <w:jc w:val="center"/>
        </w:trPr>
        <w:tc>
          <w:tcPr>
            <w:tcW w:w="618" w:type="dxa"/>
            <w:tcBorders>
              <w:top w:val="nil"/>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w:t>
            </w:r>
          </w:p>
        </w:tc>
        <w:tc>
          <w:tcPr>
            <w:tcW w:w="1573"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≤180</w:t>
            </w:r>
          </w:p>
        </w:tc>
        <w:tc>
          <w:tcPr>
            <w:tcW w:w="1272"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1.7</w:t>
            </w:r>
          </w:p>
        </w:tc>
        <w:tc>
          <w:tcPr>
            <w:tcW w:w="1713"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180</w:t>
            </w:r>
          </w:p>
        </w:tc>
        <w:tc>
          <w:tcPr>
            <w:tcW w:w="3233"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180×1.7%=3.06</w:t>
            </w:r>
          </w:p>
        </w:tc>
      </w:tr>
      <w:tr>
        <w:tblPrEx>
          <w:tblCellMar>
            <w:top w:w="0" w:type="dxa"/>
            <w:left w:w="108" w:type="dxa"/>
            <w:bottom w:w="0" w:type="dxa"/>
            <w:right w:w="108" w:type="dxa"/>
          </w:tblCellMar>
        </w:tblPrEx>
        <w:trPr>
          <w:trHeight w:val="340" w:hRule="atLeast"/>
          <w:jc w:val="center"/>
        </w:trPr>
        <w:tc>
          <w:tcPr>
            <w:tcW w:w="618" w:type="dxa"/>
            <w:tcBorders>
              <w:top w:val="nil"/>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2</w:t>
            </w:r>
          </w:p>
        </w:tc>
        <w:tc>
          <w:tcPr>
            <w:tcW w:w="1573"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180-500</w:t>
            </w:r>
          </w:p>
        </w:tc>
        <w:tc>
          <w:tcPr>
            <w:tcW w:w="1272"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1.2</w:t>
            </w:r>
          </w:p>
        </w:tc>
        <w:tc>
          <w:tcPr>
            <w:tcW w:w="1713"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500</w:t>
            </w:r>
          </w:p>
        </w:tc>
        <w:tc>
          <w:tcPr>
            <w:tcW w:w="3233"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3.06+（500-180）×1.2%=6.9</w:t>
            </w:r>
          </w:p>
        </w:tc>
      </w:tr>
      <w:tr>
        <w:tblPrEx>
          <w:tblCellMar>
            <w:top w:w="0" w:type="dxa"/>
            <w:left w:w="108" w:type="dxa"/>
            <w:bottom w:w="0" w:type="dxa"/>
            <w:right w:w="108" w:type="dxa"/>
          </w:tblCellMar>
        </w:tblPrEx>
        <w:trPr>
          <w:trHeight w:val="340" w:hRule="atLeast"/>
          <w:jc w:val="center"/>
        </w:trPr>
        <w:tc>
          <w:tcPr>
            <w:tcW w:w="61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3</w:t>
            </w:r>
          </w:p>
        </w:tc>
        <w:tc>
          <w:tcPr>
            <w:tcW w:w="1573"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500-1000</w:t>
            </w:r>
          </w:p>
        </w:tc>
        <w:tc>
          <w:tcPr>
            <w:tcW w:w="1272"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1.1</w:t>
            </w:r>
          </w:p>
        </w:tc>
        <w:tc>
          <w:tcPr>
            <w:tcW w:w="1713"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1000</w:t>
            </w:r>
          </w:p>
        </w:tc>
        <w:tc>
          <w:tcPr>
            <w:tcW w:w="3233"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6.9+（1000-500）×1.1%=12.4</w:t>
            </w:r>
          </w:p>
        </w:tc>
      </w:tr>
      <w:tr>
        <w:tblPrEx>
          <w:tblCellMar>
            <w:top w:w="0" w:type="dxa"/>
            <w:left w:w="108" w:type="dxa"/>
            <w:bottom w:w="0" w:type="dxa"/>
            <w:right w:w="108" w:type="dxa"/>
          </w:tblCellMar>
        </w:tblPrEx>
        <w:trPr>
          <w:trHeight w:val="340" w:hRule="atLeast"/>
          <w:jc w:val="center"/>
        </w:trPr>
        <w:tc>
          <w:tcPr>
            <w:tcW w:w="61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4</w:t>
            </w:r>
          </w:p>
        </w:tc>
        <w:tc>
          <w:tcPr>
            <w:tcW w:w="1573"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1000-3000</w:t>
            </w:r>
          </w:p>
        </w:tc>
        <w:tc>
          <w:tcPr>
            <w:tcW w:w="1272"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1.0</w:t>
            </w:r>
          </w:p>
        </w:tc>
        <w:tc>
          <w:tcPr>
            <w:tcW w:w="1713"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3000</w:t>
            </w:r>
          </w:p>
        </w:tc>
        <w:tc>
          <w:tcPr>
            <w:tcW w:w="3233"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12.4+（3000-1000）×1.0%=32.4</w:t>
            </w:r>
          </w:p>
        </w:tc>
      </w:tr>
      <w:tr>
        <w:tblPrEx>
          <w:tblCellMar>
            <w:top w:w="0" w:type="dxa"/>
            <w:left w:w="108" w:type="dxa"/>
            <w:bottom w:w="0" w:type="dxa"/>
            <w:right w:w="108" w:type="dxa"/>
          </w:tblCellMar>
        </w:tblPrEx>
        <w:trPr>
          <w:trHeight w:val="340" w:hRule="atLeast"/>
          <w:jc w:val="center"/>
        </w:trPr>
        <w:tc>
          <w:tcPr>
            <w:tcW w:w="61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5</w:t>
            </w:r>
          </w:p>
        </w:tc>
        <w:tc>
          <w:tcPr>
            <w:tcW w:w="1573"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3000-5000</w:t>
            </w:r>
          </w:p>
        </w:tc>
        <w:tc>
          <w:tcPr>
            <w:tcW w:w="1272"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0.9</w:t>
            </w:r>
          </w:p>
        </w:tc>
        <w:tc>
          <w:tcPr>
            <w:tcW w:w="1713"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5000</w:t>
            </w:r>
          </w:p>
        </w:tc>
        <w:tc>
          <w:tcPr>
            <w:tcW w:w="3233"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32.4+（5000-3000）×0.9%=50.4</w:t>
            </w:r>
          </w:p>
        </w:tc>
      </w:tr>
      <w:tr>
        <w:tblPrEx>
          <w:tblCellMar>
            <w:top w:w="0" w:type="dxa"/>
            <w:left w:w="108" w:type="dxa"/>
            <w:bottom w:w="0" w:type="dxa"/>
            <w:right w:w="108" w:type="dxa"/>
          </w:tblCellMar>
        </w:tblPrEx>
        <w:trPr>
          <w:trHeight w:val="340" w:hRule="atLeast"/>
          <w:jc w:val="center"/>
        </w:trPr>
        <w:tc>
          <w:tcPr>
            <w:tcW w:w="61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6</w:t>
            </w:r>
          </w:p>
        </w:tc>
        <w:tc>
          <w:tcPr>
            <w:tcW w:w="1573"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5000-10000</w:t>
            </w:r>
          </w:p>
        </w:tc>
        <w:tc>
          <w:tcPr>
            <w:tcW w:w="1272"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0.8</w:t>
            </w:r>
          </w:p>
        </w:tc>
        <w:tc>
          <w:tcPr>
            <w:tcW w:w="1713"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10000</w:t>
            </w:r>
          </w:p>
        </w:tc>
        <w:tc>
          <w:tcPr>
            <w:tcW w:w="3233"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50.4+（10000-5000）×0.8%=90.4</w:t>
            </w:r>
          </w:p>
        </w:tc>
      </w:tr>
      <w:tr>
        <w:tblPrEx>
          <w:tblCellMar>
            <w:top w:w="0" w:type="dxa"/>
            <w:left w:w="108" w:type="dxa"/>
            <w:bottom w:w="0" w:type="dxa"/>
            <w:right w:w="108" w:type="dxa"/>
          </w:tblCellMar>
        </w:tblPrEx>
        <w:trPr>
          <w:trHeight w:val="340" w:hRule="atLeast"/>
          <w:jc w:val="center"/>
        </w:trPr>
        <w:tc>
          <w:tcPr>
            <w:tcW w:w="61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7</w:t>
            </w:r>
          </w:p>
        </w:tc>
        <w:tc>
          <w:tcPr>
            <w:tcW w:w="1573"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10000以上</w:t>
            </w:r>
          </w:p>
        </w:tc>
        <w:tc>
          <w:tcPr>
            <w:tcW w:w="1272"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0.7</w:t>
            </w:r>
          </w:p>
        </w:tc>
        <w:tc>
          <w:tcPr>
            <w:tcW w:w="1713"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15000</w:t>
            </w:r>
          </w:p>
        </w:tc>
        <w:tc>
          <w:tcPr>
            <w:tcW w:w="3233"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90.4+（15000-10000）×0.7%=125.4</w:t>
            </w:r>
          </w:p>
        </w:tc>
      </w:tr>
    </w:tbl>
    <w:p>
      <w:pPr>
        <w:keepNext w:val="0"/>
        <w:keepLines w:val="0"/>
        <w:pageBreakBefore w:val="0"/>
        <w:widowControl w:val="0"/>
        <w:kinsoku/>
        <w:wordWrap/>
        <w:overflowPunct/>
        <w:topLinePunct w:val="0"/>
        <w:autoSpaceDE/>
        <w:autoSpaceDN/>
        <w:bidi w:val="0"/>
        <w:adjustRightInd w:val="0"/>
        <w:snapToGrid w:val="0"/>
        <w:spacing w:line="240" w:lineRule="exact"/>
        <w:ind w:firstLine="480" w:firstLineChars="200"/>
        <w:jc w:val="left"/>
        <w:textAlignment w:val="auto"/>
        <w:rPr>
          <w:rFonts w:hint="default" w:ascii="Times New Roman" w:hAnsi="Times New Roman" w:eastAsia="宋体" w:cs="Times New Roman"/>
          <w:color w:val="auto"/>
          <w:sz w:val="24"/>
          <w:szCs w:val="24"/>
          <w:highlight w:val="none"/>
        </w:rPr>
      </w:pPr>
    </w:p>
    <w:p>
      <w:pPr>
        <w:wordWrap/>
        <w:spacing w:line="360" w:lineRule="auto"/>
        <w:ind w:firstLine="480" w:firstLineChars="20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项目决算编制与审计费以工程施工费作为计费基数，采用差额定率累进法计算。</w:t>
      </w:r>
    </w:p>
    <w:p>
      <w:pPr>
        <w:rPr>
          <w:rFonts w:hint="default" w:ascii="黑体" w:hAnsi="黑体" w:eastAsia="黑体" w:cs="黑体"/>
          <w:b w:val="0"/>
          <w:bCs/>
          <w:color w:val="auto"/>
          <w:sz w:val="24"/>
          <w:szCs w:val="24"/>
          <w:highlight w:val="none"/>
        </w:rPr>
      </w:pPr>
      <w:r>
        <w:rPr>
          <w:rFonts w:hint="default" w:ascii="黑体" w:hAnsi="黑体" w:eastAsia="黑体" w:cs="黑体"/>
          <w:b w:val="0"/>
          <w:bCs/>
          <w:color w:val="auto"/>
          <w:sz w:val="24"/>
          <w:szCs w:val="24"/>
          <w:highlight w:val="none"/>
        </w:rPr>
        <w:br w:type="page"/>
      </w:r>
    </w:p>
    <w:p>
      <w:pPr>
        <w:keepNext w:val="0"/>
        <w:keepLines w:val="0"/>
        <w:pageBreakBefore w:val="0"/>
        <w:widowControl w:val="0"/>
        <w:tabs>
          <w:tab w:val="left" w:pos="7235"/>
        </w:tabs>
        <w:kinsoku/>
        <w:wordWrap/>
        <w:overflowPunct/>
        <w:topLinePunct w:val="0"/>
        <w:autoSpaceDE/>
        <w:autoSpaceDN/>
        <w:bidi w:val="0"/>
        <w:adjustRightInd w:val="0"/>
        <w:snapToGrid w:val="0"/>
        <w:spacing w:line="360" w:lineRule="auto"/>
        <w:ind w:right="-454" w:rightChars="-216" w:firstLine="0" w:firstLineChars="0"/>
        <w:jc w:val="center"/>
        <w:textAlignment w:val="auto"/>
        <w:rPr>
          <w:rFonts w:hint="default" w:ascii="Times New Roman" w:hAnsi="Times New Roman" w:eastAsia="宋体" w:cs="Times New Roman"/>
          <w:b/>
          <w:color w:val="auto"/>
          <w:sz w:val="21"/>
          <w:szCs w:val="21"/>
          <w:highlight w:val="none"/>
        </w:rPr>
      </w:pPr>
      <w:r>
        <w:rPr>
          <w:rFonts w:hint="default" w:ascii="黑体" w:hAnsi="黑体" w:eastAsia="黑体" w:cs="黑体"/>
          <w:b w:val="0"/>
          <w:bCs/>
          <w:color w:val="auto"/>
          <w:sz w:val="24"/>
          <w:szCs w:val="24"/>
          <w:highlight w:val="none"/>
        </w:rPr>
        <w:t>表</w:t>
      </w:r>
      <w:r>
        <w:rPr>
          <w:rFonts w:hint="default" w:ascii="黑体" w:hAnsi="黑体" w:eastAsia="黑体" w:cs="黑体"/>
          <w:b w:val="0"/>
          <w:bCs/>
          <w:color w:val="auto"/>
          <w:sz w:val="24"/>
          <w:szCs w:val="24"/>
          <w:highlight w:val="none"/>
          <w:lang w:val="en-US" w:eastAsia="zh-CN"/>
        </w:rPr>
        <w:t>6-8</w:t>
      </w:r>
      <w:r>
        <w:rPr>
          <w:rFonts w:hint="default" w:ascii="黑体" w:hAnsi="黑体" w:eastAsia="黑体" w:cs="黑体"/>
          <w:b w:val="0"/>
          <w:bCs/>
          <w:color w:val="auto"/>
          <w:sz w:val="24"/>
          <w:szCs w:val="24"/>
          <w:highlight w:val="none"/>
        </w:rPr>
        <w:t xml:space="preserve">  项目决算编制与审计费标准</w:t>
      </w:r>
    </w:p>
    <w:tbl>
      <w:tblPr>
        <w:tblStyle w:val="9"/>
        <w:tblW w:w="8376" w:type="dxa"/>
        <w:jc w:val="center"/>
        <w:tblLayout w:type="fixed"/>
        <w:tblCellMar>
          <w:top w:w="0" w:type="dxa"/>
          <w:left w:w="108" w:type="dxa"/>
          <w:bottom w:w="0" w:type="dxa"/>
          <w:right w:w="108" w:type="dxa"/>
        </w:tblCellMar>
      </w:tblPr>
      <w:tblGrid>
        <w:gridCol w:w="675"/>
        <w:gridCol w:w="1511"/>
        <w:gridCol w:w="960"/>
        <w:gridCol w:w="1736"/>
        <w:gridCol w:w="3494"/>
      </w:tblGrid>
      <w:tr>
        <w:tblPrEx>
          <w:tblCellMar>
            <w:top w:w="0" w:type="dxa"/>
            <w:left w:w="108" w:type="dxa"/>
            <w:bottom w:w="0" w:type="dxa"/>
            <w:right w:w="108" w:type="dxa"/>
          </w:tblCellMar>
        </w:tblPrEx>
        <w:trPr>
          <w:trHeight w:val="340" w:hRule="atLeast"/>
          <w:jc w:val="center"/>
        </w:trPr>
        <w:tc>
          <w:tcPr>
            <w:tcW w:w="675" w:type="dxa"/>
            <w:vMerge w:val="restart"/>
            <w:tcBorders>
              <w:top w:val="single" w:color="auto" w:sz="4" w:space="0"/>
              <w:left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序号</w:t>
            </w:r>
          </w:p>
        </w:tc>
        <w:tc>
          <w:tcPr>
            <w:tcW w:w="1511" w:type="dxa"/>
            <w:vMerge w:val="restart"/>
            <w:tcBorders>
              <w:top w:val="single" w:color="auto" w:sz="4" w:space="0"/>
              <w:left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计费基础</w:t>
            </w:r>
          </w:p>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（万元）</w:t>
            </w:r>
          </w:p>
        </w:tc>
        <w:tc>
          <w:tcPr>
            <w:tcW w:w="960" w:type="dxa"/>
            <w:vMerge w:val="restart"/>
            <w:tcBorders>
              <w:top w:val="single" w:color="auto" w:sz="4" w:space="0"/>
              <w:left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费率</w:t>
            </w:r>
          </w:p>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w:t>
            </w:r>
          </w:p>
        </w:tc>
        <w:tc>
          <w:tcPr>
            <w:tcW w:w="523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算例</w:t>
            </w:r>
          </w:p>
        </w:tc>
      </w:tr>
      <w:tr>
        <w:tblPrEx>
          <w:tblCellMar>
            <w:top w:w="0" w:type="dxa"/>
            <w:left w:w="108" w:type="dxa"/>
            <w:bottom w:w="0" w:type="dxa"/>
            <w:right w:w="108" w:type="dxa"/>
          </w:tblCellMar>
        </w:tblPrEx>
        <w:trPr>
          <w:trHeight w:val="340" w:hRule="atLeast"/>
          <w:jc w:val="center"/>
        </w:trPr>
        <w:tc>
          <w:tcPr>
            <w:tcW w:w="675" w:type="dxa"/>
            <w:vMerge w:val="continue"/>
            <w:tcBorders>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p>
        </w:tc>
        <w:tc>
          <w:tcPr>
            <w:tcW w:w="1511" w:type="dxa"/>
            <w:vMerge w:val="continue"/>
            <w:tcBorders>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p>
        </w:tc>
        <w:tc>
          <w:tcPr>
            <w:tcW w:w="960" w:type="dxa"/>
            <w:vMerge w:val="continue"/>
            <w:tcBorders>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p>
        </w:tc>
        <w:tc>
          <w:tcPr>
            <w:tcW w:w="173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计费基础（万元）</w:t>
            </w:r>
          </w:p>
        </w:tc>
        <w:tc>
          <w:tcPr>
            <w:tcW w:w="349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项目决算编制与审计费（万元）</w:t>
            </w:r>
          </w:p>
        </w:tc>
      </w:tr>
      <w:tr>
        <w:tblPrEx>
          <w:tblCellMar>
            <w:top w:w="0" w:type="dxa"/>
            <w:left w:w="108" w:type="dxa"/>
            <w:bottom w:w="0" w:type="dxa"/>
            <w:right w:w="108" w:type="dxa"/>
          </w:tblCellMar>
        </w:tblPrEx>
        <w:trPr>
          <w:trHeight w:val="340" w:hRule="atLeast"/>
          <w:jc w:val="center"/>
        </w:trPr>
        <w:tc>
          <w:tcPr>
            <w:tcW w:w="675" w:type="dxa"/>
            <w:tcBorders>
              <w:top w:val="nil"/>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w:t>
            </w:r>
          </w:p>
        </w:tc>
        <w:tc>
          <w:tcPr>
            <w:tcW w:w="1511"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≤500</w:t>
            </w:r>
          </w:p>
        </w:tc>
        <w:tc>
          <w:tcPr>
            <w:tcW w:w="960"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1.0</w:t>
            </w:r>
          </w:p>
        </w:tc>
        <w:tc>
          <w:tcPr>
            <w:tcW w:w="1736"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500</w:t>
            </w:r>
          </w:p>
        </w:tc>
        <w:tc>
          <w:tcPr>
            <w:tcW w:w="3494"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500×1.0%=5</w:t>
            </w:r>
          </w:p>
        </w:tc>
      </w:tr>
      <w:tr>
        <w:tblPrEx>
          <w:tblCellMar>
            <w:top w:w="0" w:type="dxa"/>
            <w:left w:w="108" w:type="dxa"/>
            <w:bottom w:w="0" w:type="dxa"/>
            <w:right w:w="108" w:type="dxa"/>
          </w:tblCellMar>
        </w:tblPrEx>
        <w:trPr>
          <w:trHeight w:val="340" w:hRule="atLeast"/>
          <w:jc w:val="center"/>
        </w:trPr>
        <w:tc>
          <w:tcPr>
            <w:tcW w:w="675" w:type="dxa"/>
            <w:tcBorders>
              <w:top w:val="nil"/>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2</w:t>
            </w:r>
          </w:p>
        </w:tc>
        <w:tc>
          <w:tcPr>
            <w:tcW w:w="1511"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500-1000</w:t>
            </w:r>
          </w:p>
        </w:tc>
        <w:tc>
          <w:tcPr>
            <w:tcW w:w="960"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0.9</w:t>
            </w:r>
          </w:p>
        </w:tc>
        <w:tc>
          <w:tcPr>
            <w:tcW w:w="1736"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1000</w:t>
            </w:r>
          </w:p>
        </w:tc>
        <w:tc>
          <w:tcPr>
            <w:tcW w:w="3494"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5+（1000-500）×0.9%=9.5</w:t>
            </w:r>
          </w:p>
        </w:tc>
      </w:tr>
      <w:tr>
        <w:tblPrEx>
          <w:tblCellMar>
            <w:top w:w="0" w:type="dxa"/>
            <w:left w:w="108" w:type="dxa"/>
            <w:bottom w:w="0" w:type="dxa"/>
            <w:right w:w="108" w:type="dxa"/>
          </w:tblCellMar>
        </w:tblPrEx>
        <w:trPr>
          <w:trHeight w:val="34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3</w:t>
            </w:r>
          </w:p>
        </w:tc>
        <w:tc>
          <w:tcPr>
            <w:tcW w:w="1511"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1000-3000</w:t>
            </w:r>
          </w:p>
        </w:tc>
        <w:tc>
          <w:tcPr>
            <w:tcW w:w="960"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0.8</w:t>
            </w:r>
          </w:p>
        </w:tc>
        <w:tc>
          <w:tcPr>
            <w:tcW w:w="173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3000</w:t>
            </w:r>
          </w:p>
        </w:tc>
        <w:tc>
          <w:tcPr>
            <w:tcW w:w="3494"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9.5+（3000-1000）×0.8%=25.5</w:t>
            </w:r>
          </w:p>
        </w:tc>
      </w:tr>
      <w:tr>
        <w:tblPrEx>
          <w:tblCellMar>
            <w:top w:w="0" w:type="dxa"/>
            <w:left w:w="108" w:type="dxa"/>
            <w:bottom w:w="0" w:type="dxa"/>
            <w:right w:w="108" w:type="dxa"/>
          </w:tblCellMar>
        </w:tblPrEx>
        <w:trPr>
          <w:trHeight w:val="34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4</w:t>
            </w:r>
          </w:p>
        </w:tc>
        <w:tc>
          <w:tcPr>
            <w:tcW w:w="1511"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3000-5000</w:t>
            </w:r>
          </w:p>
        </w:tc>
        <w:tc>
          <w:tcPr>
            <w:tcW w:w="960"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0.7</w:t>
            </w:r>
          </w:p>
        </w:tc>
        <w:tc>
          <w:tcPr>
            <w:tcW w:w="173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5000</w:t>
            </w:r>
          </w:p>
        </w:tc>
        <w:tc>
          <w:tcPr>
            <w:tcW w:w="3494"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25.5+（5000-3000）×0.7%=39.5</w:t>
            </w:r>
          </w:p>
        </w:tc>
      </w:tr>
      <w:tr>
        <w:tblPrEx>
          <w:tblCellMar>
            <w:top w:w="0" w:type="dxa"/>
            <w:left w:w="108" w:type="dxa"/>
            <w:bottom w:w="0" w:type="dxa"/>
            <w:right w:w="108" w:type="dxa"/>
          </w:tblCellMar>
        </w:tblPrEx>
        <w:trPr>
          <w:trHeight w:val="34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5</w:t>
            </w:r>
          </w:p>
        </w:tc>
        <w:tc>
          <w:tcPr>
            <w:tcW w:w="1511"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5000-10000</w:t>
            </w:r>
          </w:p>
        </w:tc>
        <w:tc>
          <w:tcPr>
            <w:tcW w:w="960"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0.6</w:t>
            </w:r>
          </w:p>
        </w:tc>
        <w:tc>
          <w:tcPr>
            <w:tcW w:w="173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10000</w:t>
            </w:r>
          </w:p>
        </w:tc>
        <w:tc>
          <w:tcPr>
            <w:tcW w:w="3494"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39.5+（10000-5000）×0.6%=69.5</w:t>
            </w:r>
          </w:p>
        </w:tc>
      </w:tr>
      <w:tr>
        <w:tblPrEx>
          <w:tblCellMar>
            <w:top w:w="0" w:type="dxa"/>
            <w:left w:w="108" w:type="dxa"/>
            <w:bottom w:w="0" w:type="dxa"/>
            <w:right w:w="108" w:type="dxa"/>
          </w:tblCellMar>
        </w:tblPrEx>
        <w:trPr>
          <w:trHeight w:val="34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6</w:t>
            </w:r>
          </w:p>
        </w:tc>
        <w:tc>
          <w:tcPr>
            <w:tcW w:w="1511"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10000以上</w:t>
            </w:r>
          </w:p>
        </w:tc>
        <w:tc>
          <w:tcPr>
            <w:tcW w:w="960"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0.5</w:t>
            </w:r>
          </w:p>
        </w:tc>
        <w:tc>
          <w:tcPr>
            <w:tcW w:w="173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15000</w:t>
            </w:r>
          </w:p>
        </w:tc>
        <w:tc>
          <w:tcPr>
            <w:tcW w:w="3494"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69.5+（15000-10000）×0.5%=94.5</w:t>
            </w:r>
          </w:p>
        </w:tc>
      </w:tr>
    </w:tbl>
    <w:p>
      <w:pPr>
        <w:keepNext w:val="0"/>
        <w:keepLines w:val="0"/>
        <w:pageBreakBefore w:val="0"/>
        <w:widowControl w:val="0"/>
        <w:kinsoku/>
        <w:wordWrap/>
        <w:overflowPunct/>
        <w:topLinePunct w:val="0"/>
        <w:autoSpaceDE/>
        <w:autoSpaceDN/>
        <w:bidi w:val="0"/>
        <w:adjustRightInd w:val="0"/>
        <w:snapToGrid w:val="0"/>
        <w:spacing w:line="240" w:lineRule="exact"/>
        <w:ind w:firstLine="480" w:firstLineChars="200"/>
        <w:jc w:val="left"/>
        <w:textAlignment w:val="auto"/>
        <w:rPr>
          <w:rFonts w:hint="eastAsia" w:ascii="Times New Roman" w:hAnsi="Times New Roman" w:cs="Times New Roman"/>
          <w:color w:val="auto"/>
          <w:sz w:val="24"/>
          <w:szCs w:val="24"/>
          <w:highlight w:val="none"/>
          <w:lang w:val="en-US" w:eastAsia="zh-CN"/>
        </w:rPr>
      </w:pPr>
    </w:p>
    <w:p>
      <w:pPr>
        <w:wordWrap/>
        <w:spacing w:line="360" w:lineRule="auto"/>
        <w:ind w:firstLine="480" w:firstLineChars="200"/>
        <w:jc w:val="left"/>
        <w:rPr>
          <w:rFonts w:hint="default" w:ascii="Times New Roman" w:hAnsi="Times New Roman" w:eastAsia="宋体" w:cs="Times New Roman"/>
          <w:color w:val="auto"/>
          <w:sz w:val="24"/>
          <w:szCs w:val="24"/>
          <w:highlight w:val="none"/>
        </w:rPr>
      </w:pPr>
      <w:r>
        <w:rPr>
          <w:rFonts w:hint="eastAsia" w:ascii="Times New Roman" w:hAnsi="Times New Roman" w:cs="Times New Roman"/>
          <w:color w:val="auto"/>
          <w:sz w:val="24"/>
          <w:szCs w:val="24"/>
          <w:highlight w:val="none"/>
          <w:lang w:val="en-US" w:eastAsia="zh-CN"/>
        </w:rPr>
        <w:t>d</w:t>
      </w:r>
      <w:r>
        <w:rPr>
          <w:rFonts w:hint="eastAsia"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项目管理费</w:t>
      </w:r>
    </w:p>
    <w:p>
      <w:pPr>
        <w:wordWrap/>
        <w:spacing w:line="360" w:lineRule="auto"/>
        <w:ind w:firstLine="480" w:firstLineChars="20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以工程施工费、前期工作费、工程监理费和竣工验收费之和作为计费基数，采用差额定率累进法计算。</w:t>
      </w:r>
    </w:p>
    <w:p>
      <w:pPr>
        <w:keepNext w:val="0"/>
        <w:keepLines w:val="0"/>
        <w:pageBreakBefore w:val="0"/>
        <w:widowControl w:val="0"/>
        <w:tabs>
          <w:tab w:val="left" w:pos="7235"/>
        </w:tabs>
        <w:kinsoku/>
        <w:wordWrap/>
        <w:overflowPunct/>
        <w:topLinePunct w:val="0"/>
        <w:autoSpaceDE/>
        <w:autoSpaceDN/>
        <w:bidi w:val="0"/>
        <w:adjustRightInd w:val="0"/>
        <w:snapToGrid w:val="0"/>
        <w:spacing w:line="360" w:lineRule="auto"/>
        <w:ind w:right="-454" w:rightChars="-216" w:firstLine="0" w:firstLineChars="0"/>
        <w:jc w:val="center"/>
        <w:textAlignment w:val="auto"/>
        <w:rPr>
          <w:rFonts w:hint="default" w:ascii="黑体" w:hAnsi="黑体" w:eastAsia="黑体" w:cs="黑体"/>
          <w:b w:val="0"/>
          <w:bCs/>
          <w:color w:val="auto"/>
          <w:sz w:val="24"/>
          <w:szCs w:val="24"/>
          <w:highlight w:val="none"/>
        </w:rPr>
      </w:pPr>
      <w:r>
        <w:rPr>
          <w:rFonts w:hint="default" w:ascii="黑体" w:hAnsi="黑体" w:eastAsia="黑体" w:cs="黑体"/>
          <w:b w:val="0"/>
          <w:bCs/>
          <w:color w:val="auto"/>
          <w:sz w:val="24"/>
          <w:szCs w:val="24"/>
          <w:highlight w:val="none"/>
        </w:rPr>
        <w:t>表</w:t>
      </w:r>
      <w:r>
        <w:rPr>
          <w:rFonts w:hint="default" w:ascii="黑体" w:hAnsi="黑体" w:eastAsia="黑体" w:cs="黑体"/>
          <w:b w:val="0"/>
          <w:bCs/>
          <w:color w:val="auto"/>
          <w:sz w:val="24"/>
          <w:szCs w:val="24"/>
          <w:highlight w:val="none"/>
          <w:lang w:val="en-US" w:eastAsia="zh-CN"/>
        </w:rPr>
        <w:t>6-9</w:t>
      </w:r>
      <w:r>
        <w:rPr>
          <w:rFonts w:hint="default" w:ascii="黑体" w:hAnsi="黑体" w:eastAsia="黑体" w:cs="黑体"/>
          <w:b w:val="0"/>
          <w:bCs/>
          <w:color w:val="auto"/>
          <w:sz w:val="24"/>
          <w:szCs w:val="24"/>
          <w:highlight w:val="none"/>
        </w:rPr>
        <w:t xml:space="preserve">  项目管理费计费标准</w:t>
      </w:r>
    </w:p>
    <w:tbl>
      <w:tblPr>
        <w:tblStyle w:val="9"/>
        <w:tblW w:w="8407" w:type="dxa"/>
        <w:jc w:val="center"/>
        <w:tblLayout w:type="fixed"/>
        <w:tblCellMar>
          <w:top w:w="0" w:type="dxa"/>
          <w:left w:w="108" w:type="dxa"/>
          <w:bottom w:w="0" w:type="dxa"/>
          <w:right w:w="108" w:type="dxa"/>
        </w:tblCellMar>
      </w:tblPr>
      <w:tblGrid>
        <w:gridCol w:w="675"/>
        <w:gridCol w:w="1376"/>
        <w:gridCol w:w="1170"/>
        <w:gridCol w:w="1860"/>
        <w:gridCol w:w="3326"/>
      </w:tblGrid>
      <w:tr>
        <w:tblPrEx>
          <w:tblCellMar>
            <w:top w:w="0" w:type="dxa"/>
            <w:left w:w="108" w:type="dxa"/>
            <w:bottom w:w="0" w:type="dxa"/>
            <w:right w:w="108" w:type="dxa"/>
          </w:tblCellMar>
        </w:tblPrEx>
        <w:trPr>
          <w:trHeight w:val="340" w:hRule="atLeast"/>
          <w:jc w:val="center"/>
        </w:trPr>
        <w:tc>
          <w:tcPr>
            <w:tcW w:w="675" w:type="dxa"/>
            <w:vMerge w:val="restart"/>
            <w:tcBorders>
              <w:top w:val="single" w:color="auto" w:sz="4" w:space="0"/>
              <w:left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序号</w:t>
            </w:r>
          </w:p>
        </w:tc>
        <w:tc>
          <w:tcPr>
            <w:tcW w:w="1376" w:type="dxa"/>
            <w:vMerge w:val="restart"/>
            <w:tcBorders>
              <w:top w:val="single" w:color="auto" w:sz="4" w:space="0"/>
              <w:left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计费基础</w:t>
            </w:r>
          </w:p>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（万元）</w:t>
            </w:r>
          </w:p>
        </w:tc>
        <w:tc>
          <w:tcPr>
            <w:tcW w:w="1170" w:type="dxa"/>
            <w:vMerge w:val="restart"/>
            <w:tcBorders>
              <w:top w:val="single" w:color="auto" w:sz="4" w:space="0"/>
              <w:left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费率</w:t>
            </w:r>
          </w:p>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w:t>
            </w:r>
          </w:p>
        </w:tc>
        <w:tc>
          <w:tcPr>
            <w:tcW w:w="518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算例</w:t>
            </w:r>
          </w:p>
        </w:tc>
      </w:tr>
      <w:tr>
        <w:tblPrEx>
          <w:tblCellMar>
            <w:top w:w="0" w:type="dxa"/>
            <w:left w:w="108" w:type="dxa"/>
            <w:bottom w:w="0" w:type="dxa"/>
            <w:right w:w="108" w:type="dxa"/>
          </w:tblCellMar>
        </w:tblPrEx>
        <w:trPr>
          <w:trHeight w:val="340" w:hRule="atLeast"/>
          <w:jc w:val="center"/>
        </w:trPr>
        <w:tc>
          <w:tcPr>
            <w:tcW w:w="675" w:type="dxa"/>
            <w:vMerge w:val="continue"/>
            <w:tcBorders>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p>
        </w:tc>
        <w:tc>
          <w:tcPr>
            <w:tcW w:w="1376" w:type="dxa"/>
            <w:vMerge w:val="continue"/>
            <w:tcBorders>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p>
        </w:tc>
        <w:tc>
          <w:tcPr>
            <w:tcW w:w="1170" w:type="dxa"/>
            <w:vMerge w:val="continue"/>
            <w:tcBorders>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p>
        </w:tc>
        <w:tc>
          <w:tcPr>
            <w:tcW w:w="186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计费基础（万元）</w:t>
            </w:r>
          </w:p>
        </w:tc>
        <w:tc>
          <w:tcPr>
            <w:tcW w:w="332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项目管理费（万元）</w:t>
            </w:r>
          </w:p>
        </w:tc>
      </w:tr>
      <w:tr>
        <w:tblPrEx>
          <w:tblCellMar>
            <w:top w:w="0" w:type="dxa"/>
            <w:left w:w="108" w:type="dxa"/>
            <w:bottom w:w="0" w:type="dxa"/>
            <w:right w:w="108" w:type="dxa"/>
          </w:tblCellMar>
        </w:tblPrEx>
        <w:trPr>
          <w:trHeight w:val="340" w:hRule="atLeast"/>
          <w:jc w:val="center"/>
        </w:trPr>
        <w:tc>
          <w:tcPr>
            <w:tcW w:w="675" w:type="dxa"/>
            <w:tcBorders>
              <w:top w:val="nil"/>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w:t>
            </w:r>
          </w:p>
        </w:tc>
        <w:tc>
          <w:tcPr>
            <w:tcW w:w="1376"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≤500</w:t>
            </w:r>
          </w:p>
        </w:tc>
        <w:tc>
          <w:tcPr>
            <w:tcW w:w="1170"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1.5</w:t>
            </w:r>
          </w:p>
        </w:tc>
        <w:tc>
          <w:tcPr>
            <w:tcW w:w="1860"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500</w:t>
            </w:r>
          </w:p>
        </w:tc>
        <w:tc>
          <w:tcPr>
            <w:tcW w:w="3326"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500×1.5%=7.5</w:t>
            </w:r>
          </w:p>
        </w:tc>
      </w:tr>
      <w:tr>
        <w:tblPrEx>
          <w:tblCellMar>
            <w:top w:w="0" w:type="dxa"/>
            <w:left w:w="108" w:type="dxa"/>
            <w:bottom w:w="0" w:type="dxa"/>
            <w:right w:w="108" w:type="dxa"/>
          </w:tblCellMar>
        </w:tblPrEx>
        <w:trPr>
          <w:trHeight w:val="340" w:hRule="atLeast"/>
          <w:jc w:val="center"/>
        </w:trPr>
        <w:tc>
          <w:tcPr>
            <w:tcW w:w="675" w:type="dxa"/>
            <w:tcBorders>
              <w:top w:val="nil"/>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2</w:t>
            </w:r>
          </w:p>
        </w:tc>
        <w:tc>
          <w:tcPr>
            <w:tcW w:w="1376"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500-1000</w:t>
            </w:r>
          </w:p>
        </w:tc>
        <w:tc>
          <w:tcPr>
            <w:tcW w:w="1170"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1.0</w:t>
            </w:r>
          </w:p>
        </w:tc>
        <w:tc>
          <w:tcPr>
            <w:tcW w:w="1860"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1000</w:t>
            </w:r>
          </w:p>
        </w:tc>
        <w:tc>
          <w:tcPr>
            <w:tcW w:w="3326"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7.5+（1000-500）×1.0%=12.5</w:t>
            </w:r>
          </w:p>
        </w:tc>
      </w:tr>
      <w:tr>
        <w:tblPrEx>
          <w:tblCellMar>
            <w:top w:w="0" w:type="dxa"/>
            <w:left w:w="108" w:type="dxa"/>
            <w:bottom w:w="0" w:type="dxa"/>
            <w:right w:w="108" w:type="dxa"/>
          </w:tblCellMar>
        </w:tblPrEx>
        <w:trPr>
          <w:trHeight w:val="34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3</w:t>
            </w:r>
          </w:p>
        </w:tc>
        <w:tc>
          <w:tcPr>
            <w:tcW w:w="137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1000-3000</w:t>
            </w:r>
          </w:p>
        </w:tc>
        <w:tc>
          <w:tcPr>
            <w:tcW w:w="1170"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0.5</w:t>
            </w:r>
          </w:p>
        </w:tc>
        <w:tc>
          <w:tcPr>
            <w:tcW w:w="1860"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3000</w:t>
            </w:r>
          </w:p>
        </w:tc>
        <w:tc>
          <w:tcPr>
            <w:tcW w:w="332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12.5+（3000-1000）×0.5%=22.5</w:t>
            </w:r>
          </w:p>
        </w:tc>
      </w:tr>
      <w:tr>
        <w:tblPrEx>
          <w:tblCellMar>
            <w:top w:w="0" w:type="dxa"/>
            <w:left w:w="108" w:type="dxa"/>
            <w:bottom w:w="0" w:type="dxa"/>
            <w:right w:w="108" w:type="dxa"/>
          </w:tblCellMar>
        </w:tblPrEx>
        <w:trPr>
          <w:trHeight w:val="34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4</w:t>
            </w:r>
          </w:p>
        </w:tc>
        <w:tc>
          <w:tcPr>
            <w:tcW w:w="137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3000-5000</w:t>
            </w:r>
          </w:p>
        </w:tc>
        <w:tc>
          <w:tcPr>
            <w:tcW w:w="1170"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0.3</w:t>
            </w:r>
          </w:p>
        </w:tc>
        <w:tc>
          <w:tcPr>
            <w:tcW w:w="1860"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5000</w:t>
            </w:r>
          </w:p>
        </w:tc>
        <w:tc>
          <w:tcPr>
            <w:tcW w:w="332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22.5+（5000-3000）×0.3%=28.5</w:t>
            </w:r>
          </w:p>
        </w:tc>
      </w:tr>
      <w:tr>
        <w:tblPrEx>
          <w:tblCellMar>
            <w:top w:w="0" w:type="dxa"/>
            <w:left w:w="108" w:type="dxa"/>
            <w:bottom w:w="0" w:type="dxa"/>
            <w:right w:w="108" w:type="dxa"/>
          </w:tblCellMar>
        </w:tblPrEx>
        <w:trPr>
          <w:trHeight w:val="34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5</w:t>
            </w:r>
          </w:p>
        </w:tc>
        <w:tc>
          <w:tcPr>
            <w:tcW w:w="137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5000-10000</w:t>
            </w:r>
          </w:p>
        </w:tc>
        <w:tc>
          <w:tcPr>
            <w:tcW w:w="1170"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0.1</w:t>
            </w:r>
          </w:p>
        </w:tc>
        <w:tc>
          <w:tcPr>
            <w:tcW w:w="1860"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10000</w:t>
            </w:r>
          </w:p>
        </w:tc>
        <w:tc>
          <w:tcPr>
            <w:tcW w:w="332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28.5+（10000-5000）×0.1%=33.5</w:t>
            </w:r>
          </w:p>
        </w:tc>
      </w:tr>
      <w:tr>
        <w:tblPrEx>
          <w:tblCellMar>
            <w:top w:w="0" w:type="dxa"/>
            <w:left w:w="108" w:type="dxa"/>
            <w:bottom w:w="0" w:type="dxa"/>
            <w:right w:w="108" w:type="dxa"/>
          </w:tblCellMar>
        </w:tblPrEx>
        <w:trPr>
          <w:trHeight w:val="34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6</w:t>
            </w:r>
          </w:p>
        </w:tc>
        <w:tc>
          <w:tcPr>
            <w:tcW w:w="137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10000以上</w:t>
            </w:r>
          </w:p>
        </w:tc>
        <w:tc>
          <w:tcPr>
            <w:tcW w:w="1170"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0.08</w:t>
            </w:r>
          </w:p>
        </w:tc>
        <w:tc>
          <w:tcPr>
            <w:tcW w:w="1860"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15000</w:t>
            </w:r>
          </w:p>
        </w:tc>
        <w:tc>
          <w:tcPr>
            <w:tcW w:w="332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33.5+（15000-10000）×0.08%=37.5</w:t>
            </w:r>
          </w:p>
        </w:tc>
      </w:tr>
    </w:tbl>
    <w:p>
      <w:pPr>
        <w:keepNext w:val="0"/>
        <w:keepLines w:val="0"/>
        <w:pageBreakBefore w:val="0"/>
        <w:widowControl w:val="0"/>
        <w:kinsoku/>
        <w:wordWrap/>
        <w:overflowPunct/>
        <w:topLinePunct w:val="0"/>
        <w:autoSpaceDE/>
        <w:autoSpaceDN/>
        <w:bidi w:val="0"/>
        <w:adjustRightInd w:val="0"/>
        <w:snapToGrid w:val="0"/>
        <w:spacing w:line="240" w:lineRule="exact"/>
        <w:ind w:firstLine="482" w:firstLineChars="200"/>
        <w:jc w:val="left"/>
        <w:textAlignment w:val="auto"/>
        <w:rPr>
          <w:rFonts w:hint="default" w:ascii="Times New Roman" w:hAnsi="Times New Roman" w:eastAsia="宋体" w:cs="Times New Roman"/>
          <w:b/>
          <w:color w:val="auto"/>
          <w:sz w:val="24"/>
          <w:szCs w:val="24"/>
          <w:highlight w:val="none"/>
        </w:rPr>
      </w:pPr>
    </w:p>
    <w:p>
      <w:pPr>
        <w:wordWrap/>
        <w:spacing w:line="360" w:lineRule="auto"/>
        <w:ind w:firstLine="480" w:firstLineChars="200"/>
        <w:jc w:val="left"/>
        <w:rPr>
          <w:rFonts w:hint="default" w:ascii="Times New Roman" w:hAnsi="Times New Roman" w:eastAsia="宋体" w:cs="Times New Roman"/>
          <w:b w:val="0"/>
          <w:bCs/>
          <w:color w:val="auto"/>
          <w:sz w:val="24"/>
          <w:szCs w:val="24"/>
          <w:highlight w:val="none"/>
        </w:rPr>
      </w:pPr>
      <w:r>
        <w:rPr>
          <w:rFonts w:hint="eastAsia" w:cs="Times New Roman"/>
          <w:b w:val="0"/>
          <w:bCs/>
          <w:color w:val="auto"/>
          <w:sz w:val="24"/>
          <w:szCs w:val="24"/>
          <w:highlight w:val="none"/>
          <w:lang w:val="en-US" w:eastAsia="zh-CN"/>
        </w:rPr>
        <w:t>（3）</w:t>
      </w:r>
      <w:r>
        <w:rPr>
          <w:rFonts w:hint="default" w:ascii="Times New Roman" w:hAnsi="Times New Roman" w:eastAsia="宋体" w:cs="Times New Roman"/>
          <w:b w:val="0"/>
          <w:bCs/>
          <w:color w:val="auto"/>
          <w:sz w:val="24"/>
          <w:szCs w:val="24"/>
          <w:highlight w:val="none"/>
        </w:rPr>
        <w:t>不可预见费</w:t>
      </w:r>
    </w:p>
    <w:p>
      <w:pPr>
        <w:wordWrap/>
        <w:spacing w:line="360" w:lineRule="auto"/>
        <w:ind w:firstLine="480" w:firstLineChars="20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不可预见费以工程施工费、其他费用之和作为计费基数，费率取3%。</w:t>
      </w:r>
    </w:p>
    <w:p>
      <w:pPr>
        <w:keepNext w:val="0"/>
        <w:keepLines w:val="0"/>
        <w:pageBreakBefore w:val="0"/>
        <w:widowControl w:val="0"/>
        <w:tabs>
          <w:tab w:val="left" w:pos="7235"/>
        </w:tabs>
        <w:kinsoku/>
        <w:wordWrap/>
        <w:overflowPunct/>
        <w:topLinePunct w:val="0"/>
        <w:autoSpaceDE/>
        <w:autoSpaceDN/>
        <w:bidi w:val="0"/>
        <w:adjustRightInd w:val="0"/>
        <w:snapToGrid w:val="0"/>
        <w:spacing w:line="360" w:lineRule="auto"/>
        <w:ind w:right="-454" w:rightChars="-216" w:firstLine="0" w:firstLineChars="0"/>
        <w:jc w:val="center"/>
        <w:textAlignment w:val="auto"/>
        <w:rPr>
          <w:rFonts w:hint="default" w:ascii="黑体" w:hAnsi="黑体" w:eastAsia="黑体" w:cs="黑体"/>
          <w:b w:val="0"/>
          <w:bCs/>
          <w:color w:val="auto"/>
          <w:sz w:val="24"/>
          <w:szCs w:val="24"/>
          <w:highlight w:val="none"/>
        </w:rPr>
      </w:pPr>
      <w:r>
        <w:rPr>
          <w:rFonts w:hint="default" w:ascii="黑体" w:hAnsi="黑体" w:eastAsia="黑体" w:cs="黑体"/>
          <w:b w:val="0"/>
          <w:bCs/>
          <w:color w:val="auto"/>
          <w:sz w:val="24"/>
          <w:szCs w:val="24"/>
          <w:highlight w:val="none"/>
        </w:rPr>
        <w:t>表</w:t>
      </w:r>
      <w:r>
        <w:rPr>
          <w:rFonts w:hint="default" w:ascii="黑体" w:hAnsi="黑体" w:eastAsia="黑体" w:cs="黑体"/>
          <w:b w:val="0"/>
          <w:bCs/>
          <w:color w:val="auto"/>
          <w:sz w:val="24"/>
          <w:szCs w:val="24"/>
          <w:highlight w:val="none"/>
          <w:lang w:val="en-US" w:eastAsia="zh-CN"/>
        </w:rPr>
        <w:t>6-10</w:t>
      </w:r>
      <w:r>
        <w:rPr>
          <w:rFonts w:hint="default" w:ascii="黑体" w:hAnsi="黑体" w:eastAsia="黑体" w:cs="黑体"/>
          <w:b w:val="0"/>
          <w:bCs/>
          <w:color w:val="auto"/>
          <w:sz w:val="24"/>
          <w:szCs w:val="24"/>
          <w:highlight w:val="none"/>
        </w:rPr>
        <w:t xml:space="preserve">  不可预见费计算表</w:t>
      </w:r>
    </w:p>
    <w:tbl>
      <w:tblPr>
        <w:tblStyle w:val="9"/>
        <w:tblW w:w="8410" w:type="dxa"/>
        <w:jc w:val="center"/>
        <w:tblLayout w:type="fixed"/>
        <w:tblCellMar>
          <w:top w:w="0" w:type="dxa"/>
          <w:left w:w="108" w:type="dxa"/>
          <w:bottom w:w="0" w:type="dxa"/>
          <w:right w:w="108" w:type="dxa"/>
        </w:tblCellMar>
      </w:tblPr>
      <w:tblGrid>
        <w:gridCol w:w="826"/>
        <w:gridCol w:w="2181"/>
        <w:gridCol w:w="3711"/>
        <w:gridCol w:w="1692"/>
      </w:tblGrid>
      <w:tr>
        <w:tblPrEx>
          <w:tblCellMar>
            <w:top w:w="0" w:type="dxa"/>
            <w:left w:w="108" w:type="dxa"/>
            <w:bottom w:w="0" w:type="dxa"/>
            <w:right w:w="108" w:type="dxa"/>
          </w:tblCellMar>
        </w:tblPrEx>
        <w:trPr>
          <w:trHeight w:val="340" w:hRule="atLeast"/>
          <w:jc w:val="center"/>
        </w:trPr>
        <w:tc>
          <w:tcPr>
            <w:tcW w:w="82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序号</w:t>
            </w:r>
          </w:p>
        </w:tc>
        <w:tc>
          <w:tcPr>
            <w:tcW w:w="218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费用名称</w:t>
            </w:r>
          </w:p>
        </w:tc>
        <w:tc>
          <w:tcPr>
            <w:tcW w:w="371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计费基数（万元）</w:t>
            </w:r>
          </w:p>
        </w:tc>
        <w:tc>
          <w:tcPr>
            <w:tcW w:w="169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费率％</w:t>
            </w:r>
          </w:p>
        </w:tc>
      </w:tr>
      <w:tr>
        <w:tblPrEx>
          <w:tblCellMar>
            <w:top w:w="0" w:type="dxa"/>
            <w:left w:w="108" w:type="dxa"/>
            <w:bottom w:w="0" w:type="dxa"/>
            <w:right w:w="108" w:type="dxa"/>
          </w:tblCellMar>
        </w:tblPrEx>
        <w:trPr>
          <w:trHeight w:val="340" w:hRule="atLeast"/>
          <w:jc w:val="center"/>
        </w:trPr>
        <w:tc>
          <w:tcPr>
            <w:tcW w:w="826" w:type="dxa"/>
            <w:tcBorders>
              <w:top w:val="nil"/>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w:t>
            </w:r>
          </w:p>
        </w:tc>
        <w:tc>
          <w:tcPr>
            <w:tcW w:w="2181"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不可预见费</w:t>
            </w:r>
          </w:p>
        </w:tc>
        <w:tc>
          <w:tcPr>
            <w:tcW w:w="3711"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工程施工费+其他费用</w:t>
            </w:r>
          </w:p>
        </w:tc>
        <w:tc>
          <w:tcPr>
            <w:tcW w:w="1692"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3</w:t>
            </w:r>
          </w:p>
        </w:tc>
      </w:tr>
    </w:tbl>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 w:val="0"/>
          <w:bCs/>
          <w:color w:val="auto"/>
          <w:sz w:val="24"/>
          <w:szCs w:val="24"/>
          <w:highlight w:val="none"/>
        </w:rPr>
      </w:pPr>
      <w:r>
        <w:rPr>
          <w:rFonts w:hint="eastAsia" w:cs="Times New Roman"/>
          <w:b w:val="0"/>
          <w:bCs/>
          <w:color w:val="auto"/>
          <w:sz w:val="24"/>
          <w:szCs w:val="24"/>
          <w:highlight w:val="none"/>
          <w:lang w:val="en-US" w:eastAsia="zh-CN"/>
        </w:rPr>
        <w:t>（4）</w:t>
      </w:r>
      <w:r>
        <w:rPr>
          <w:rFonts w:hint="default" w:ascii="Times New Roman" w:hAnsi="Times New Roman" w:eastAsia="宋体" w:cs="Times New Roman"/>
          <w:b w:val="0"/>
          <w:bCs/>
          <w:color w:val="auto"/>
          <w:sz w:val="24"/>
          <w:szCs w:val="24"/>
          <w:highlight w:val="none"/>
        </w:rPr>
        <w:t>监测管护费</w:t>
      </w:r>
    </w:p>
    <w:p>
      <w:pPr>
        <w:keepNext w:val="0"/>
        <w:keepLines w:val="0"/>
        <w:widowControl w:val="0"/>
        <w:suppressLineNumbers w:val="0"/>
        <w:spacing w:before="0" w:beforeAutospacing="0" w:after="0" w:afterAutospacing="0" w:line="374" w:lineRule="auto"/>
        <w:ind w:left="0" w:right="0" w:firstLine="480" w:firstLineChars="200"/>
        <w:jc w:val="left"/>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监测管护费=监测费+管护费</w:t>
      </w:r>
      <w:r>
        <w:rPr>
          <w:rFonts w:hint="eastAsia" w:ascii="Times New Roman" w:hAnsi="Times New Roman" w:cs="Times New Roman"/>
          <w:color w:val="auto"/>
          <w:sz w:val="24"/>
          <w:szCs w:val="24"/>
          <w:highlight w:val="none"/>
          <w:lang w:eastAsia="zh-CN"/>
        </w:rPr>
        <w:t>，</w:t>
      </w:r>
      <w:r>
        <w:rPr>
          <w:rFonts w:hint="eastAsia" w:ascii="Times New Roman" w:hAnsi="Times New Roman" w:eastAsia="宋体" w:cs="宋体"/>
          <w:color w:val="auto"/>
          <w:kern w:val="2"/>
          <w:sz w:val="24"/>
          <w:szCs w:val="24"/>
          <w:lang w:val="en-US" w:eastAsia="zh-CN" w:bidi="ar"/>
        </w:rPr>
        <w:t>对监测管护费总价进行限定，原则上不超过工程施工费的</w:t>
      </w:r>
      <w:r>
        <w:rPr>
          <w:rFonts w:hint="default" w:ascii="Times New Roman" w:hAnsi="Times New Roman" w:eastAsia="宋体" w:cs="Times New Roman"/>
          <w:color w:val="auto"/>
          <w:kern w:val="2"/>
          <w:sz w:val="24"/>
          <w:szCs w:val="24"/>
          <w:lang w:val="en-US" w:eastAsia="zh-CN" w:bidi="ar"/>
        </w:rPr>
        <w:t>10%</w:t>
      </w:r>
      <w:r>
        <w:rPr>
          <w:rFonts w:hint="eastAsia" w:ascii="Times New Roman" w:hAnsi="Times New Roman" w:eastAsia="宋体" w:cs="宋体"/>
          <w:color w:val="auto"/>
          <w:kern w:val="2"/>
          <w:sz w:val="24"/>
          <w:szCs w:val="24"/>
          <w:lang w:val="en-US" w:eastAsia="zh-CN" w:bidi="ar"/>
        </w:rPr>
        <w:t>。</w:t>
      </w:r>
    </w:p>
    <w:p>
      <w:pPr>
        <w:wordWrap/>
        <w:spacing w:line="360" w:lineRule="auto"/>
        <w:ind w:firstLine="480" w:firstLineChars="20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监测费</w:t>
      </w:r>
      <w:r>
        <w:rPr>
          <w:rFonts w:hint="default" w:ascii="Times New Roman" w:hAnsi="Times New Roman" w:eastAsia="宋体" w:cs="Times New Roman"/>
          <w:color w:val="auto"/>
          <w:spacing w:val="-4"/>
          <w:kern w:val="2"/>
          <w:sz w:val="24"/>
          <w:szCs w:val="24"/>
          <w:lang w:val="en-US" w:eastAsia="zh-CN" w:bidi="ar"/>
        </w:rPr>
        <w:t>=</w:t>
      </w:r>
      <w:r>
        <w:rPr>
          <w:rFonts w:hint="eastAsia" w:ascii="Times New Roman" w:hAnsi="Times New Roman" w:eastAsia="宋体" w:cs="Times New Roman"/>
          <w:color w:val="auto"/>
          <w:spacing w:val="-4"/>
          <w:kern w:val="2"/>
          <w:sz w:val="24"/>
          <w:szCs w:val="24"/>
          <w:lang w:val="en-US" w:eastAsia="zh-CN" w:bidi="ar"/>
        </w:rPr>
        <w:t>频率（次</w:t>
      </w:r>
      <w:r>
        <w:rPr>
          <w:rFonts w:hint="default" w:ascii="Times New Roman" w:hAnsi="Times New Roman" w:eastAsia="宋体" w:cs="Times New Roman"/>
          <w:color w:val="auto"/>
          <w:spacing w:val="-4"/>
          <w:kern w:val="2"/>
          <w:sz w:val="24"/>
          <w:szCs w:val="24"/>
          <w:lang w:val="en-US" w:eastAsia="zh-CN" w:bidi="ar"/>
        </w:rPr>
        <w:t>/</w:t>
      </w:r>
      <w:r>
        <w:rPr>
          <w:rFonts w:hint="eastAsia" w:ascii="Times New Roman" w:hAnsi="Times New Roman" w:eastAsia="宋体" w:cs="Times New Roman"/>
          <w:color w:val="auto"/>
          <w:spacing w:val="-4"/>
          <w:kern w:val="2"/>
          <w:sz w:val="24"/>
          <w:szCs w:val="24"/>
          <w:lang w:val="en-US" w:eastAsia="zh-CN" w:bidi="ar"/>
        </w:rPr>
        <w:t>年）</w:t>
      </w:r>
      <w:r>
        <w:rPr>
          <w:rFonts w:hint="default" w:ascii="Times New Roman" w:hAnsi="Times New Roman" w:eastAsia="宋体" w:cs="Times New Roman"/>
          <w:color w:val="auto"/>
          <w:spacing w:val="-4"/>
          <w:kern w:val="2"/>
          <w:sz w:val="24"/>
          <w:szCs w:val="24"/>
          <w:lang w:val="en-US" w:eastAsia="zh-CN" w:bidi="ar"/>
        </w:rPr>
        <w:t>×</w:t>
      </w:r>
      <w:r>
        <w:rPr>
          <w:rFonts w:hint="eastAsia" w:ascii="Times New Roman" w:hAnsi="Times New Roman" w:eastAsia="宋体" w:cs="Times New Roman"/>
          <w:color w:val="auto"/>
          <w:spacing w:val="-4"/>
          <w:kern w:val="2"/>
          <w:sz w:val="24"/>
          <w:szCs w:val="24"/>
          <w:lang w:val="en-US" w:eastAsia="zh-CN" w:bidi="ar"/>
        </w:rPr>
        <w:t>年限（年）</w:t>
      </w:r>
      <w:r>
        <w:rPr>
          <w:rFonts w:hint="default" w:ascii="Times New Roman" w:hAnsi="Times New Roman" w:eastAsia="宋体" w:cs="Times New Roman"/>
          <w:color w:val="auto"/>
          <w:spacing w:val="-4"/>
          <w:kern w:val="2"/>
          <w:sz w:val="24"/>
          <w:szCs w:val="24"/>
          <w:lang w:val="en-US" w:eastAsia="zh-CN" w:bidi="ar"/>
        </w:rPr>
        <w:t>×</w:t>
      </w:r>
      <w:r>
        <w:rPr>
          <w:rFonts w:hint="eastAsia" w:ascii="Times New Roman" w:hAnsi="Times New Roman" w:eastAsia="宋体" w:cs="Times New Roman"/>
          <w:color w:val="auto"/>
          <w:spacing w:val="-4"/>
          <w:kern w:val="2"/>
          <w:sz w:val="24"/>
          <w:szCs w:val="24"/>
          <w:lang w:val="en-US" w:eastAsia="zh-CN" w:bidi="ar"/>
        </w:rPr>
        <w:t>单次费用（万元）</w:t>
      </w:r>
      <w:r>
        <w:rPr>
          <w:rFonts w:hint="default" w:ascii="Times New Roman" w:hAnsi="Times New Roman" w:eastAsia="宋体" w:cs="Times New Roman"/>
          <w:color w:val="auto"/>
          <w:spacing w:val="-4"/>
          <w:sz w:val="24"/>
          <w:szCs w:val="24"/>
          <w:highlight w:val="none"/>
        </w:rPr>
        <w:t>。</w:t>
      </w:r>
    </w:p>
    <w:p>
      <w:pPr>
        <w:wordWrap/>
        <w:spacing w:line="360" w:lineRule="auto"/>
        <w:ind w:firstLine="480" w:firstLineChars="20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管护费</w:t>
      </w:r>
      <w:r>
        <w:rPr>
          <w:rFonts w:hint="default" w:ascii="Times New Roman" w:hAnsi="Times New Roman" w:eastAsia="宋体" w:cs="Times New Roman"/>
          <w:color w:val="auto"/>
          <w:kern w:val="2"/>
          <w:sz w:val="24"/>
          <w:szCs w:val="24"/>
          <w:lang w:val="en-US" w:eastAsia="zh-CN" w:bidi="ar"/>
        </w:rPr>
        <w:t>=</w:t>
      </w:r>
      <w:r>
        <w:rPr>
          <w:rFonts w:hint="eastAsia" w:ascii="Times New Roman" w:hAnsi="Times New Roman" w:eastAsia="宋体" w:cs="Times New Roman"/>
          <w:color w:val="auto"/>
          <w:spacing w:val="-4"/>
          <w:kern w:val="2"/>
          <w:sz w:val="24"/>
          <w:szCs w:val="24"/>
          <w:lang w:val="en-US" w:eastAsia="zh-CN" w:bidi="ar"/>
        </w:rPr>
        <w:t>频率（次</w:t>
      </w:r>
      <w:r>
        <w:rPr>
          <w:rFonts w:hint="default" w:ascii="Times New Roman" w:hAnsi="Times New Roman" w:eastAsia="宋体" w:cs="Times New Roman"/>
          <w:color w:val="auto"/>
          <w:spacing w:val="-4"/>
          <w:kern w:val="2"/>
          <w:sz w:val="24"/>
          <w:szCs w:val="24"/>
          <w:lang w:val="en-US" w:eastAsia="zh-CN" w:bidi="ar"/>
        </w:rPr>
        <w:t>/</w:t>
      </w:r>
      <w:r>
        <w:rPr>
          <w:rFonts w:hint="eastAsia" w:ascii="Times New Roman" w:hAnsi="Times New Roman" w:eastAsia="宋体" w:cs="Times New Roman"/>
          <w:color w:val="auto"/>
          <w:spacing w:val="-4"/>
          <w:kern w:val="2"/>
          <w:sz w:val="24"/>
          <w:szCs w:val="24"/>
          <w:lang w:val="en-US" w:eastAsia="zh-CN" w:bidi="ar"/>
        </w:rPr>
        <w:t>年）</w:t>
      </w:r>
      <w:r>
        <w:rPr>
          <w:rFonts w:hint="default" w:ascii="Times New Roman" w:hAnsi="Times New Roman" w:eastAsia="宋体" w:cs="Times New Roman"/>
          <w:color w:val="auto"/>
          <w:spacing w:val="-4"/>
          <w:kern w:val="2"/>
          <w:sz w:val="24"/>
          <w:szCs w:val="24"/>
          <w:lang w:val="en-US" w:eastAsia="zh-CN" w:bidi="ar"/>
        </w:rPr>
        <w:t>×</w:t>
      </w:r>
      <w:r>
        <w:rPr>
          <w:rFonts w:hint="eastAsia" w:ascii="Times New Roman" w:hAnsi="Times New Roman" w:eastAsia="宋体" w:cs="Times New Roman"/>
          <w:color w:val="auto"/>
          <w:spacing w:val="-4"/>
          <w:kern w:val="2"/>
          <w:sz w:val="24"/>
          <w:szCs w:val="24"/>
          <w:lang w:val="en-US" w:eastAsia="zh-CN" w:bidi="ar"/>
        </w:rPr>
        <w:t>年限（年）</w:t>
      </w:r>
      <w:r>
        <w:rPr>
          <w:rFonts w:hint="default" w:ascii="Times New Roman" w:hAnsi="Times New Roman" w:eastAsia="宋体" w:cs="Times New Roman"/>
          <w:color w:val="auto"/>
          <w:spacing w:val="-4"/>
          <w:kern w:val="2"/>
          <w:sz w:val="24"/>
          <w:szCs w:val="24"/>
          <w:lang w:val="en-US" w:eastAsia="zh-CN" w:bidi="ar"/>
        </w:rPr>
        <w:t>×</w:t>
      </w:r>
      <w:r>
        <w:rPr>
          <w:rFonts w:hint="eastAsia" w:ascii="Times New Roman" w:hAnsi="Times New Roman" w:eastAsia="宋体" w:cs="Times New Roman"/>
          <w:color w:val="auto"/>
          <w:spacing w:val="-4"/>
          <w:kern w:val="2"/>
          <w:sz w:val="24"/>
          <w:szCs w:val="24"/>
          <w:lang w:val="en-US" w:eastAsia="zh-CN" w:bidi="ar"/>
        </w:rPr>
        <w:t>单次费用（万元）</w:t>
      </w:r>
      <w:r>
        <w:rPr>
          <w:rFonts w:hint="default" w:ascii="Times New Roman" w:hAnsi="Times New Roman" w:eastAsia="宋体" w:cs="Times New Roman"/>
          <w:color w:val="auto"/>
          <w:sz w:val="24"/>
          <w:szCs w:val="24"/>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 w:val="0"/>
          <w:bCs/>
          <w:color w:val="auto"/>
          <w:sz w:val="24"/>
          <w:szCs w:val="24"/>
          <w:highlight w:val="none"/>
          <w:lang w:val="en-US"/>
        </w:rPr>
      </w:pPr>
      <w:r>
        <w:rPr>
          <w:rFonts w:hint="eastAsia" w:cs="Times New Roman"/>
          <w:b w:val="0"/>
          <w:bCs/>
          <w:color w:val="auto"/>
          <w:sz w:val="24"/>
          <w:szCs w:val="24"/>
          <w:highlight w:val="none"/>
          <w:lang w:val="en-US" w:eastAsia="zh-CN"/>
        </w:rPr>
        <w:t>（5）</w:t>
      </w:r>
      <w:r>
        <w:rPr>
          <w:rFonts w:hint="eastAsia" w:ascii="Times New Roman" w:hAnsi="Times New Roman" w:eastAsia="宋体" w:cs="Times New Roman"/>
          <w:b w:val="0"/>
          <w:bCs/>
          <w:color w:val="auto"/>
          <w:sz w:val="24"/>
          <w:szCs w:val="24"/>
          <w:highlight w:val="none"/>
          <w:lang w:val="en-US" w:eastAsia="zh-CN"/>
        </w:rPr>
        <w:t>价差预备费</w:t>
      </w:r>
    </w:p>
    <w:p>
      <w:pPr>
        <w:keepNext w:val="0"/>
        <w:keepLines w:val="0"/>
        <w:widowControl w:val="0"/>
        <w:suppressLineNumbers w:val="0"/>
        <w:spacing w:before="0" w:beforeAutospacing="0" w:after="0" w:afterAutospacing="0"/>
        <w:ind w:left="0" w:right="0" w:firstLine="480" w:firstLineChars="200"/>
        <w:jc w:val="left"/>
        <w:rPr>
          <w:color w:val="auto"/>
          <w:sz w:val="24"/>
          <w:szCs w:val="24"/>
          <w:vertAlign w:val="subscript"/>
          <w:lang w:val="en-US"/>
        </w:rPr>
      </w:pPr>
      <w:r>
        <w:rPr>
          <w:rFonts w:hint="default" w:ascii="Times New Roman" w:hAnsi="Times New Roman" w:eastAsia="宋体" w:cs="Times New Roman"/>
          <w:color w:val="auto"/>
          <w:kern w:val="2"/>
          <w:sz w:val="24"/>
          <w:szCs w:val="24"/>
          <w:lang w:val="en-US" w:eastAsia="zh-CN" w:bidi="ar"/>
        </w:rPr>
        <w:t xml:space="preserve">               </w:t>
      </w:r>
      <w:r>
        <w:rPr>
          <w:rFonts w:hint="default" w:ascii="Times New Roman" w:hAnsi="Times New Roman" w:eastAsia="宋体" w:cs="Times New Roman"/>
          <w:color w:val="auto"/>
          <w:kern w:val="2"/>
          <w:sz w:val="24"/>
          <w:szCs w:val="24"/>
          <w:vertAlign w:val="subscript"/>
          <w:lang w:val="en-US" w:eastAsia="zh-CN" w:bidi="ar"/>
        </w:rPr>
        <w:t>n</w:t>
      </w:r>
    </w:p>
    <w:p>
      <w:pPr>
        <w:keepNext w:val="0"/>
        <w:keepLines w:val="0"/>
        <w:widowControl w:val="0"/>
        <w:suppressLineNumbers w:val="0"/>
        <w:spacing w:before="0" w:beforeAutospacing="0" w:after="0" w:afterAutospacing="0"/>
        <w:ind w:left="0" w:right="0" w:firstLine="480" w:firstLineChars="200"/>
        <w:jc w:val="left"/>
        <w:rPr>
          <w:color w:val="auto"/>
          <w:sz w:val="24"/>
          <w:szCs w:val="24"/>
          <w:lang w:val="en-US"/>
        </w:rPr>
      </w:pPr>
      <w:r>
        <w:rPr>
          <w:rFonts w:hint="eastAsia" w:ascii="Times New Roman" w:hAnsi="Times New Roman" w:eastAsia="宋体" w:cs="宋体"/>
          <w:color w:val="auto"/>
          <w:kern w:val="2"/>
          <w:sz w:val="24"/>
          <w:szCs w:val="24"/>
          <w:lang w:val="en-US" w:eastAsia="zh-CN" w:bidi="ar"/>
        </w:rPr>
        <w:t>计算公式：</w:t>
      </w:r>
      <w:r>
        <w:rPr>
          <w:rFonts w:hint="default" w:ascii="Times New Roman" w:hAnsi="Times New Roman" w:eastAsia="宋体" w:cs="Times New Roman"/>
          <w:color w:val="auto"/>
          <w:kern w:val="2"/>
          <w:sz w:val="24"/>
          <w:szCs w:val="24"/>
          <w:lang w:val="en-US" w:eastAsia="zh-CN" w:bidi="ar"/>
        </w:rPr>
        <w:t>PF= ∑I</w:t>
      </w:r>
      <w:r>
        <w:rPr>
          <w:rFonts w:hint="default" w:ascii="Times New Roman" w:hAnsi="Times New Roman" w:eastAsia="宋体" w:cs="Times New Roman"/>
          <w:color w:val="auto"/>
          <w:kern w:val="2"/>
          <w:sz w:val="24"/>
          <w:szCs w:val="24"/>
          <w:vertAlign w:val="subscript"/>
          <w:lang w:val="en-US" w:eastAsia="zh-CN" w:bidi="ar"/>
        </w:rPr>
        <w:t>t</w:t>
      </w:r>
      <w:r>
        <w:rPr>
          <w:rFonts w:hint="default" w:ascii="Times New Roman" w:hAnsi="Times New Roman" w:eastAsia="宋体" w:cs="Times New Roman"/>
          <w:color w:val="auto"/>
          <w:kern w:val="2"/>
          <w:sz w:val="24"/>
          <w:szCs w:val="24"/>
          <w:lang w:val="en-US" w:eastAsia="zh-CN" w:bidi="ar"/>
        </w:rPr>
        <w:t>[</w:t>
      </w:r>
      <w:r>
        <w:rPr>
          <w:rFonts w:hint="eastAsia" w:ascii="Times New Roman" w:hAnsi="Times New Roman"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1+f</w:t>
      </w:r>
      <w:r>
        <w:rPr>
          <w:rFonts w:hint="eastAsia" w:ascii="Times New Roman" w:hAnsi="Times New Roman"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vertAlign w:val="superscript"/>
          <w:lang w:val="en-US" w:eastAsia="zh-CN" w:bidi="ar"/>
        </w:rPr>
        <w:t>m</w:t>
      </w:r>
      <w:r>
        <w:rPr>
          <w:rFonts w:hint="eastAsia" w:ascii="Times New Roman" w:hAnsi="Times New Roman"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1+f</w:t>
      </w:r>
      <w:r>
        <w:rPr>
          <w:rFonts w:hint="eastAsia" w:ascii="Times New Roman" w:hAnsi="Times New Roman"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vertAlign w:val="superscript"/>
          <w:lang w:val="en-US" w:eastAsia="zh-CN" w:bidi="ar"/>
        </w:rPr>
        <w:t>0.5</w:t>
      </w:r>
      <w:r>
        <w:rPr>
          <w:rFonts w:hint="eastAsia" w:ascii="Times New Roman" w:hAnsi="Times New Roman"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1+f</w:t>
      </w:r>
      <w:r>
        <w:rPr>
          <w:rFonts w:hint="eastAsia" w:ascii="Times New Roman" w:hAnsi="Times New Roman"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vertAlign w:val="superscript"/>
          <w:lang w:val="en-US" w:eastAsia="zh-CN" w:bidi="ar"/>
        </w:rPr>
        <w:t>t-1</w:t>
      </w:r>
      <w:r>
        <w:rPr>
          <w:rFonts w:hint="default" w:ascii="Times New Roman" w:hAnsi="Times New Roman" w:eastAsia="宋体" w:cs="Times New Roman"/>
          <w:color w:val="auto"/>
          <w:kern w:val="2"/>
          <w:sz w:val="24"/>
          <w:szCs w:val="24"/>
          <w:lang w:val="en-US" w:eastAsia="zh-CN" w:bidi="ar"/>
        </w:rPr>
        <w:t>-1]</w:t>
      </w:r>
    </w:p>
    <w:p>
      <w:pPr>
        <w:keepNext w:val="0"/>
        <w:keepLines w:val="0"/>
        <w:widowControl w:val="0"/>
        <w:suppressLineNumbers w:val="0"/>
        <w:spacing w:before="0" w:beforeAutospacing="0" w:after="0" w:afterAutospacing="0"/>
        <w:ind w:left="63" w:leftChars="30" w:right="0" w:firstLine="480" w:firstLineChars="200"/>
        <w:jc w:val="left"/>
        <w:rPr>
          <w:color w:val="auto"/>
          <w:sz w:val="24"/>
          <w:szCs w:val="24"/>
          <w:vertAlign w:val="superscript"/>
          <w:lang w:val="en-US"/>
        </w:rPr>
      </w:pPr>
      <w:r>
        <w:rPr>
          <w:rFonts w:hint="default" w:ascii="Times New Roman" w:hAnsi="Times New Roman" w:eastAsia="宋体" w:cs="Times New Roman"/>
          <w:color w:val="auto"/>
          <w:kern w:val="2"/>
          <w:sz w:val="24"/>
          <w:szCs w:val="24"/>
          <w:lang w:val="en-US" w:eastAsia="zh-CN" w:bidi="ar"/>
        </w:rPr>
        <w:t xml:space="preserve">              </w:t>
      </w:r>
      <w:r>
        <w:rPr>
          <w:rFonts w:hint="default" w:ascii="Times New Roman" w:hAnsi="Times New Roman" w:eastAsia="宋体" w:cs="Times New Roman"/>
          <w:color w:val="auto"/>
          <w:kern w:val="2"/>
          <w:sz w:val="24"/>
          <w:szCs w:val="24"/>
          <w:vertAlign w:val="superscript"/>
          <w:lang w:val="en-US" w:eastAsia="zh-CN" w:bidi="ar"/>
        </w:rPr>
        <w:t>t=1</w:t>
      </w:r>
    </w:p>
    <w:p>
      <w:pPr>
        <w:keepNext w:val="0"/>
        <w:keepLines w:val="0"/>
        <w:widowControl w:val="0"/>
        <w:suppressLineNumbers w:val="0"/>
        <w:spacing w:before="0" w:beforeAutospacing="0" w:after="0" w:afterAutospacing="0" w:line="360" w:lineRule="auto"/>
        <w:ind w:left="0" w:right="0" w:firstLine="480" w:firstLineChars="200"/>
        <w:jc w:val="left"/>
        <w:rPr>
          <w:color w:val="auto"/>
          <w:sz w:val="24"/>
          <w:szCs w:val="24"/>
          <w:lang w:val="en-US"/>
        </w:rPr>
      </w:pPr>
      <w:r>
        <w:rPr>
          <w:rFonts w:hint="eastAsia" w:ascii="Times New Roman" w:hAnsi="Times New Roman" w:eastAsia="宋体" w:cs="宋体"/>
          <w:color w:val="auto"/>
          <w:kern w:val="2"/>
          <w:sz w:val="24"/>
          <w:szCs w:val="24"/>
          <w:lang w:val="en-US" w:eastAsia="zh-CN" w:bidi="ar"/>
        </w:rPr>
        <w:t>式中：</w:t>
      </w:r>
      <w:r>
        <w:rPr>
          <w:rFonts w:hint="default" w:ascii="Times New Roman" w:hAnsi="Times New Roman" w:eastAsia="宋体" w:cs="Times New Roman"/>
          <w:color w:val="auto"/>
          <w:kern w:val="2"/>
          <w:sz w:val="24"/>
          <w:szCs w:val="24"/>
          <w:lang w:val="en-US" w:eastAsia="zh-CN" w:bidi="ar"/>
        </w:rPr>
        <w:t>PF—</w:t>
      </w:r>
      <w:r>
        <w:rPr>
          <w:rFonts w:hint="eastAsia" w:ascii="Times New Roman" w:hAnsi="Times New Roman" w:eastAsia="宋体" w:cs="宋体"/>
          <w:color w:val="auto"/>
          <w:kern w:val="2"/>
          <w:sz w:val="24"/>
          <w:szCs w:val="24"/>
          <w:lang w:val="en-US" w:eastAsia="zh-CN" w:bidi="ar"/>
        </w:rPr>
        <w:t>价差预备费</w:t>
      </w:r>
    </w:p>
    <w:p>
      <w:pPr>
        <w:keepNext w:val="0"/>
        <w:keepLines w:val="0"/>
        <w:widowControl w:val="0"/>
        <w:suppressLineNumbers w:val="0"/>
        <w:spacing w:before="0" w:beforeAutospacing="0" w:after="0" w:afterAutospacing="0" w:line="360" w:lineRule="auto"/>
        <w:ind w:left="0" w:right="0" w:firstLine="480" w:firstLineChars="200"/>
        <w:jc w:val="left"/>
        <w:rPr>
          <w:color w:val="auto"/>
          <w:sz w:val="24"/>
          <w:szCs w:val="24"/>
          <w:lang w:val="en-US"/>
        </w:rPr>
      </w:pPr>
      <w:r>
        <w:rPr>
          <w:rFonts w:hint="default" w:ascii="Times New Roman" w:hAnsi="Times New Roman" w:eastAsia="宋体" w:cs="Times New Roman"/>
          <w:color w:val="auto"/>
          <w:kern w:val="2"/>
          <w:sz w:val="24"/>
          <w:szCs w:val="24"/>
          <w:lang w:val="en-US" w:eastAsia="zh-CN" w:bidi="ar"/>
        </w:rPr>
        <w:t xml:space="preserve">       n—</w:t>
      </w:r>
      <w:r>
        <w:rPr>
          <w:rFonts w:hint="eastAsia" w:ascii="Times New Roman" w:hAnsi="Times New Roman" w:eastAsia="宋体" w:cs="宋体"/>
          <w:color w:val="auto"/>
          <w:kern w:val="2"/>
          <w:sz w:val="24"/>
          <w:szCs w:val="24"/>
          <w:lang w:val="en-US" w:eastAsia="zh-CN" w:bidi="ar"/>
        </w:rPr>
        <w:t>建设期年份数</w:t>
      </w:r>
    </w:p>
    <w:p>
      <w:pPr>
        <w:keepNext w:val="0"/>
        <w:keepLines w:val="0"/>
        <w:widowControl w:val="0"/>
        <w:suppressLineNumbers w:val="0"/>
        <w:spacing w:before="0" w:beforeAutospacing="0" w:after="0" w:afterAutospacing="0" w:line="360" w:lineRule="auto"/>
        <w:ind w:left="0" w:right="0" w:firstLine="480" w:firstLineChars="200"/>
        <w:jc w:val="left"/>
        <w:rPr>
          <w:color w:val="auto"/>
          <w:sz w:val="24"/>
          <w:szCs w:val="24"/>
          <w:lang w:val="en-US"/>
        </w:rPr>
      </w:pPr>
      <w:r>
        <w:rPr>
          <w:rFonts w:hint="default" w:ascii="Times New Roman" w:hAnsi="Times New Roman" w:eastAsia="宋体" w:cs="Times New Roman"/>
          <w:color w:val="auto"/>
          <w:kern w:val="2"/>
          <w:sz w:val="24"/>
          <w:szCs w:val="24"/>
          <w:lang w:val="en-US" w:eastAsia="zh-CN" w:bidi="ar"/>
        </w:rPr>
        <w:t xml:space="preserve">       I</w:t>
      </w:r>
      <w:r>
        <w:rPr>
          <w:rFonts w:hint="default" w:ascii="Times New Roman" w:hAnsi="Times New Roman" w:eastAsia="宋体" w:cs="Times New Roman"/>
          <w:color w:val="auto"/>
          <w:kern w:val="2"/>
          <w:sz w:val="24"/>
          <w:szCs w:val="24"/>
          <w:vertAlign w:val="subscript"/>
          <w:lang w:val="en-US" w:eastAsia="zh-CN" w:bidi="ar"/>
        </w:rPr>
        <w:t>t</w:t>
      </w:r>
      <w:r>
        <w:rPr>
          <w:rFonts w:hint="default" w:ascii="Times New Roman" w:hAnsi="Times New Roman" w:eastAsia="宋体" w:cs="Times New Roman"/>
          <w:color w:val="auto"/>
          <w:kern w:val="2"/>
          <w:sz w:val="24"/>
          <w:szCs w:val="24"/>
          <w:lang w:val="en-US" w:eastAsia="zh-CN" w:bidi="ar"/>
        </w:rPr>
        <w:t>—</w:t>
      </w:r>
      <w:r>
        <w:rPr>
          <w:rFonts w:hint="eastAsia" w:ascii="Times New Roman" w:hAnsi="Times New Roman" w:eastAsia="宋体" w:cs="宋体"/>
          <w:color w:val="auto"/>
          <w:kern w:val="2"/>
          <w:sz w:val="24"/>
          <w:szCs w:val="24"/>
          <w:lang w:val="en-US" w:eastAsia="zh-CN" w:bidi="ar"/>
        </w:rPr>
        <w:t>建设期中第</w:t>
      </w:r>
      <w:r>
        <w:rPr>
          <w:rFonts w:hint="default" w:ascii="Times New Roman" w:hAnsi="Times New Roman" w:eastAsia="宋体" w:cs="Times New Roman"/>
          <w:color w:val="auto"/>
          <w:kern w:val="2"/>
          <w:sz w:val="24"/>
          <w:szCs w:val="24"/>
          <w:lang w:val="en-US" w:eastAsia="zh-CN" w:bidi="ar"/>
        </w:rPr>
        <w:t>t</w:t>
      </w:r>
      <w:r>
        <w:rPr>
          <w:rFonts w:hint="eastAsia" w:ascii="Times New Roman" w:hAnsi="Times New Roman" w:eastAsia="宋体" w:cs="宋体"/>
          <w:color w:val="auto"/>
          <w:kern w:val="2"/>
          <w:sz w:val="24"/>
          <w:szCs w:val="24"/>
          <w:lang w:val="en-US" w:eastAsia="zh-CN" w:bidi="ar"/>
        </w:rPr>
        <w:t>年的投资计划额，即第</w:t>
      </w:r>
      <w:r>
        <w:rPr>
          <w:rFonts w:hint="default" w:ascii="Times New Roman" w:hAnsi="Times New Roman" w:eastAsia="宋体" w:cs="Times New Roman"/>
          <w:color w:val="auto"/>
          <w:kern w:val="2"/>
          <w:sz w:val="24"/>
          <w:szCs w:val="24"/>
          <w:lang w:val="en-US" w:eastAsia="zh-CN" w:bidi="ar"/>
        </w:rPr>
        <w:t>t</w:t>
      </w:r>
      <w:r>
        <w:rPr>
          <w:rFonts w:hint="eastAsia" w:ascii="Times New Roman" w:hAnsi="Times New Roman" w:eastAsia="宋体" w:cs="宋体"/>
          <w:color w:val="auto"/>
          <w:kern w:val="2"/>
          <w:sz w:val="24"/>
          <w:szCs w:val="24"/>
          <w:lang w:val="en-US" w:eastAsia="zh-CN" w:bidi="ar"/>
        </w:rPr>
        <w:t>年的静态投资计划额</w:t>
      </w:r>
    </w:p>
    <w:p>
      <w:pPr>
        <w:keepNext w:val="0"/>
        <w:keepLines w:val="0"/>
        <w:widowControl w:val="0"/>
        <w:suppressLineNumbers w:val="0"/>
        <w:spacing w:before="0" w:beforeAutospacing="0" w:after="0" w:afterAutospacing="0" w:line="360" w:lineRule="auto"/>
        <w:ind w:left="0" w:right="0" w:firstLine="480" w:firstLineChars="200"/>
        <w:jc w:val="left"/>
        <w:rPr>
          <w:color w:val="auto"/>
          <w:sz w:val="24"/>
          <w:szCs w:val="24"/>
          <w:lang w:val="en-US"/>
        </w:rPr>
      </w:pPr>
      <w:r>
        <w:rPr>
          <w:rFonts w:hint="default" w:ascii="Times New Roman" w:hAnsi="Times New Roman" w:eastAsia="宋体" w:cs="Times New Roman"/>
          <w:color w:val="auto"/>
          <w:kern w:val="2"/>
          <w:sz w:val="24"/>
          <w:szCs w:val="24"/>
          <w:lang w:val="en-US" w:eastAsia="zh-CN" w:bidi="ar"/>
        </w:rPr>
        <w:t xml:space="preserve">       f—</w:t>
      </w:r>
      <w:r>
        <w:rPr>
          <w:rFonts w:hint="eastAsia" w:ascii="Times New Roman" w:hAnsi="Times New Roman" w:eastAsia="宋体" w:cs="宋体"/>
          <w:color w:val="auto"/>
          <w:kern w:val="2"/>
          <w:sz w:val="24"/>
          <w:szCs w:val="24"/>
          <w:lang w:val="en-US" w:eastAsia="zh-CN" w:bidi="ar"/>
        </w:rPr>
        <w:t>年涨价率（按</w:t>
      </w:r>
      <w:r>
        <w:rPr>
          <w:rFonts w:hint="default" w:ascii="Times New Roman" w:hAnsi="Times New Roman" w:eastAsia="宋体" w:cs="Times New Roman"/>
          <w:color w:val="auto"/>
          <w:kern w:val="2"/>
          <w:sz w:val="24"/>
          <w:szCs w:val="24"/>
          <w:lang w:val="en-US" w:eastAsia="zh-CN" w:bidi="ar"/>
        </w:rPr>
        <w:t>6%</w:t>
      </w:r>
      <w:r>
        <w:rPr>
          <w:rFonts w:hint="eastAsia" w:ascii="Times New Roman" w:hAnsi="Times New Roman" w:eastAsia="宋体" w:cs="宋体"/>
          <w:color w:val="auto"/>
          <w:kern w:val="2"/>
          <w:sz w:val="24"/>
          <w:szCs w:val="24"/>
          <w:lang w:val="en-US" w:eastAsia="zh-CN" w:bidi="ar"/>
        </w:rPr>
        <w:t>计）</w:t>
      </w:r>
    </w:p>
    <w:p>
      <w:pPr>
        <w:keepNext w:val="0"/>
        <w:keepLines w:val="0"/>
        <w:widowControl w:val="0"/>
        <w:suppressLineNumbers w:val="0"/>
        <w:spacing w:before="0" w:beforeAutospacing="0" w:after="0" w:afterAutospacing="0" w:line="360" w:lineRule="auto"/>
        <w:ind w:left="0" w:right="0" w:firstLine="480" w:firstLineChars="200"/>
        <w:jc w:val="left"/>
        <w:rPr>
          <w:rFonts w:hint="default"/>
          <w:color w:val="auto"/>
        </w:rPr>
      </w:pPr>
      <w:r>
        <w:rPr>
          <w:rFonts w:hint="default" w:ascii="Times New Roman" w:hAnsi="Times New Roman" w:eastAsia="宋体" w:cs="Times New Roman"/>
          <w:color w:val="auto"/>
          <w:kern w:val="2"/>
          <w:sz w:val="24"/>
          <w:szCs w:val="24"/>
          <w:lang w:val="en-US" w:eastAsia="zh-CN" w:bidi="ar"/>
        </w:rPr>
        <w:t xml:space="preserve">       m—</w:t>
      </w:r>
      <w:r>
        <w:rPr>
          <w:rFonts w:hint="eastAsia" w:ascii="Times New Roman" w:hAnsi="Times New Roman" w:eastAsia="宋体" w:cs="宋体"/>
          <w:color w:val="auto"/>
          <w:kern w:val="2"/>
          <w:sz w:val="24"/>
          <w:szCs w:val="24"/>
          <w:lang w:val="en-US" w:eastAsia="zh-CN" w:bidi="ar"/>
        </w:rPr>
        <w:t>建设前期年限（从</w:t>
      </w:r>
      <w:r>
        <w:rPr>
          <w:rFonts w:hint="eastAsia" w:cs="宋体"/>
          <w:color w:val="auto"/>
          <w:kern w:val="2"/>
          <w:sz w:val="24"/>
          <w:szCs w:val="24"/>
          <w:lang w:val="en-US" w:eastAsia="zh-CN" w:bidi="ar"/>
        </w:rPr>
        <w:t>方案</w:t>
      </w:r>
      <w:r>
        <w:rPr>
          <w:rFonts w:hint="eastAsia" w:ascii="Times New Roman" w:hAnsi="Times New Roman" w:eastAsia="宋体" w:cs="宋体"/>
          <w:color w:val="auto"/>
          <w:kern w:val="2"/>
          <w:sz w:val="24"/>
          <w:szCs w:val="24"/>
          <w:lang w:val="en-US" w:eastAsia="zh-CN" w:bidi="ar"/>
        </w:rPr>
        <w:t>编制估算至开工建设，本项目建设前期年限已计入总规划年限）</w:t>
      </w:r>
      <w:r>
        <w:rPr>
          <w:rFonts w:hint="eastAsia" w:cs="宋体"/>
          <w:color w:val="auto"/>
          <w:kern w:val="2"/>
          <w:sz w:val="24"/>
          <w:szCs w:val="24"/>
          <w:lang w:val="en-US" w:eastAsia="zh-CN" w:bidi="ar"/>
        </w:rPr>
        <w:t>。</w:t>
      </w:r>
    </w:p>
    <w:bookmarkEnd w:id="68"/>
    <w:p>
      <w:pPr>
        <w:keepNext w:val="0"/>
        <w:keepLines w:val="0"/>
        <w:pageBreakBefore w:val="0"/>
        <w:widowControl/>
        <w:numPr>
          <w:ilvl w:val="0"/>
          <w:numId w:val="0"/>
        </w:numPr>
        <w:kinsoku/>
        <w:wordWrap/>
        <w:overflowPunct/>
        <w:topLinePunct w:val="0"/>
        <w:autoSpaceDE/>
        <w:autoSpaceDN/>
        <w:bidi w:val="0"/>
        <w:adjustRightInd w:val="0"/>
        <w:snapToGrid w:val="0"/>
        <w:spacing w:before="313" w:beforeLines="100" w:line="360" w:lineRule="auto"/>
        <w:jc w:val="both"/>
        <w:textAlignment w:val="auto"/>
        <w:outlineLvl w:val="1"/>
        <w:rPr>
          <w:rFonts w:hint="default" w:ascii="Times New Roman" w:hAnsi="Times New Roman" w:eastAsia="宋体" w:cs="Times New Roman"/>
          <w:b/>
          <w:bCs/>
          <w:color w:val="auto"/>
          <w:sz w:val="28"/>
          <w:szCs w:val="28"/>
          <w:lang w:val="zh-CN" w:eastAsia="zh-CN"/>
        </w:rPr>
      </w:pPr>
      <w:bookmarkStart w:id="69" w:name="_Toc18766"/>
      <w:bookmarkStart w:id="70" w:name="_Toc25649"/>
      <w:bookmarkStart w:id="71" w:name="_Toc18269"/>
      <w:bookmarkStart w:id="72" w:name="_Toc29728"/>
      <w:bookmarkStart w:id="73" w:name="_Toc4382"/>
      <w:r>
        <w:rPr>
          <w:rFonts w:hint="default" w:ascii="Times New Roman" w:hAnsi="Times New Roman" w:eastAsia="宋体" w:cs="Times New Roman"/>
          <w:b/>
          <w:bCs/>
          <w:color w:val="auto"/>
          <w:sz w:val="28"/>
          <w:szCs w:val="28"/>
          <w:lang w:val="zh-CN" w:eastAsia="zh-CN"/>
        </w:rPr>
        <w:t>二</w:t>
      </w:r>
      <w:r>
        <w:rPr>
          <w:rFonts w:hint="eastAsia" w:ascii="Times New Roman" w:hAnsi="Times New Roman" w:eastAsia="宋体" w:cs="Times New Roman"/>
          <w:b/>
          <w:bCs/>
          <w:color w:val="auto"/>
          <w:sz w:val="28"/>
          <w:szCs w:val="28"/>
          <w:lang w:val="zh-CN" w:eastAsia="zh-CN"/>
        </w:rPr>
        <w:t>、</w:t>
      </w:r>
      <w:r>
        <w:rPr>
          <w:rFonts w:hint="default" w:ascii="Times New Roman" w:hAnsi="Times New Roman" w:eastAsia="宋体" w:cs="Times New Roman"/>
          <w:b/>
          <w:bCs/>
          <w:color w:val="auto"/>
          <w:sz w:val="28"/>
          <w:szCs w:val="28"/>
          <w:lang w:val="zh-CN" w:eastAsia="zh-CN"/>
        </w:rPr>
        <w:t>主要工程量</w:t>
      </w:r>
      <w:bookmarkEnd w:id="69"/>
      <w:bookmarkEnd w:id="70"/>
      <w:bookmarkEnd w:id="71"/>
      <w:bookmarkEnd w:id="72"/>
      <w:bookmarkEnd w:id="73"/>
    </w:p>
    <w:p>
      <w:pPr>
        <w:keepNext w:val="0"/>
        <w:keepLines w:val="0"/>
        <w:pageBreakBefore w:val="0"/>
        <w:widowControl w:val="0"/>
        <w:tabs>
          <w:tab w:val="left" w:pos="7235"/>
        </w:tabs>
        <w:kinsoku/>
        <w:wordWrap/>
        <w:overflowPunct/>
        <w:topLinePunct w:val="0"/>
        <w:autoSpaceDE/>
        <w:autoSpaceDN/>
        <w:bidi w:val="0"/>
        <w:adjustRightInd w:val="0"/>
        <w:snapToGrid w:val="0"/>
        <w:spacing w:line="360" w:lineRule="auto"/>
        <w:ind w:right="-454" w:rightChars="-216" w:firstLine="0" w:firstLineChars="0"/>
        <w:jc w:val="center"/>
        <w:textAlignment w:val="auto"/>
        <w:rPr>
          <w:rFonts w:hint="default" w:ascii="黑体" w:hAnsi="黑体" w:eastAsia="黑体" w:cs="黑体"/>
          <w:b w:val="0"/>
          <w:bCs/>
          <w:color w:val="auto"/>
          <w:sz w:val="24"/>
          <w:szCs w:val="24"/>
          <w:highlight w:val="none"/>
        </w:rPr>
      </w:pPr>
      <w:bookmarkStart w:id="74" w:name="_Hlk533445952"/>
      <w:r>
        <w:rPr>
          <w:rFonts w:hint="default" w:ascii="黑体" w:hAnsi="黑体" w:eastAsia="黑体" w:cs="黑体"/>
          <w:b w:val="0"/>
          <w:bCs/>
          <w:color w:val="auto"/>
          <w:sz w:val="24"/>
          <w:szCs w:val="24"/>
          <w:highlight w:val="none"/>
        </w:rPr>
        <w:t>表</w:t>
      </w:r>
      <w:r>
        <w:rPr>
          <w:rFonts w:hint="default" w:ascii="黑体" w:hAnsi="黑体" w:eastAsia="黑体" w:cs="黑体"/>
          <w:b w:val="0"/>
          <w:bCs/>
          <w:color w:val="auto"/>
          <w:sz w:val="24"/>
          <w:szCs w:val="24"/>
          <w:highlight w:val="none"/>
          <w:lang w:val="en-US" w:eastAsia="zh-CN"/>
        </w:rPr>
        <w:t xml:space="preserve">6-11 </w:t>
      </w:r>
      <w:r>
        <w:rPr>
          <w:rFonts w:hint="default" w:ascii="黑体" w:hAnsi="黑体" w:eastAsia="黑体" w:cs="黑体"/>
          <w:b w:val="0"/>
          <w:bCs/>
          <w:color w:val="auto"/>
          <w:sz w:val="24"/>
          <w:szCs w:val="24"/>
          <w:highlight w:val="none"/>
        </w:rPr>
        <w:t xml:space="preserve"> 治理工程量汇总表</w:t>
      </w:r>
    </w:p>
    <w:tbl>
      <w:tblPr>
        <w:tblStyle w:val="9"/>
        <w:tblW w:w="8442" w:type="dxa"/>
        <w:jc w:val="center"/>
        <w:shd w:val="clear" w:color="auto" w:fill="auto"/>
        <w:tblLayout w:type="autofit"/>
        <w:tblCellMar>
          <w:top w:w="0" w:type="dxa"/>
          <w:left w:w="108" w:type="dxa"/>
          <w:bottom w:w="0" w:type="dxa"/>
          <w:right w:w="108" w:type="dxa"/>
        </w:tblCellMar>
      </w:tblPr>
      <w:tblGrid>
        <w:gridCol w:w="1436"/>
        <w:gridCol w:w="2809"/>
        <w:gridCol w:w="1785"/>
        <w:gridCol w:w="2412"/>
      </w:tblGrid>
      <w:tr>
        <w:tblPrEx>
          <w:tblCellMar>
            <w:top w:w="0" w:type="dxa"/>
            <w:left w:w="108" w:type="dxa"/>
            <w:bottom w:w="0" w:type="dxa"/>
            <w:right w:w="108" w:type="dxa"/>
          </w:tblCellMar>
        </w:tblPrEx>
        <w:trPr>
          <w:trHeight w:val="340" w:hRule="atLeast"/>
          <w:jc w:val="center"/>
        </w:trPr>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序号</w:t>
            </w:r>
          </w:p>
        </w:tc>
        <w:tc>
          <w:tcPr>
            <w:tcW w:w="2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工程项目</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计量单位</w:t>
            </w:r>
          </w:p>
        </w:tc>
        <w:tc>
          <w:tcPr>
            <w:tcW w:w="24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工程量</w:t>
            </w:r>
          </w:p>
        </w:tc>
      </w:tr>
      <w:tr>
        <w:tblPrEx>
          <w:shd w:val="clear" w:color="auto" w:fill="auto"/>
          <w:tblCellMar>
            <w:top w:w="0" w:type="dxa"/>
            <w:left w:w="108" w:type="dxa"/>
            <w:bottom w:w="0" w:type="dxa"/>
            <w:right w:w="108" w:type="dxa"/>
          </w:tblCellMar>
        </w:tblPrEx>
        <w:trPr>
          <w:trHeight w:val="340" w:hRule="atLeast"/>
          <w:jc w:val="center"/>
        </w:trPr>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一</w:t>
            </w:r>
          </w:p>
        </w:tc>
        <w:tc>
          <w:tcPr>
            <w:tcW w:w="2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bCs/>
                <w:i w:val="0"/>
                <w:iCs w:val="0"/>
                <w:color w:val="auto"/>
                <w:sz w:val="21"/>
                <w:szCs w:val="21"/>
                <w:highlight w:val="none"/>
                <w:u w:val="none"/>
                <w:lang w:val="en-US"/>
              </w:rPr>
            </w:pPr>
            <w:r>
              <w:rPr>
                <w:rFonts w:hint="default" w:ascii="Times New Roman" w:hAnsi="Times New Roman" w:eastAsia="宋体" w:cs="Times New Roman"/>
                <w:b/>
                <w:bCs/>
                <w:i w:val="0"/>
                <w:iCs w:val="0"/>
                <w:color w:val="auto"/>
                <w:kern w:val="0"/>
                <w:sz w:val="21"/>
                <w:szCs w:val="21"/>
                <w:highlight w:val="none"/>
                <w:u w:val="none"/>
                <w:lang w:val="en-US" w:eastAsia="zh-CN" w:bidi="ar"/>
              </w:rPr>
              <w:t>监测管护工程</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i w:val="0"/>
                <w:iCs w:val="0"/>
                <w:color w:val="auto"/>
                <w:sz w:val="21"/>
                <w:szCs w:val="21"/>
                <w:highlight w:val="none"/>
                <w:u w:val="none"/>
              </w:rPr>
            </w:pPr>
          </w:p>
        </w:tc>
        <w:tc>
          <w:tcPr>
            <w:tcW w:w="24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b/>
                <w:bCs/>
                <w:i w:val="0"/>
                <w:iCs w:val="0"/>
                <w:color w:val="auto"/>
                <w:sz w:val="21"/>
                <w:szCs w:val="21"/>
                <w:highlight w:val="none"/>
                <w:u w:val="none"/>
              </w:rPr>
            </w:pPr>
          </w:p>
        </w:tc>
      </w:tr>
      <w:tr>
        <w:tblPrEx>
          <w:tblCellMar>
            <w:top w:w="0" w:type="dxa"/>
            <w:left w:w="108" w:type="dxa"/>
            <w:bottom w:w="0" w:type="dxa"/>
            <w:right w:w="108" w:type="dxa"/>
          </w:tblCellMar>
        </w:tblPrEx>
        <w:trPr>
          <w:trHeight w:val="340" w:hRule="atLeast"/>
          <w:jc w:val="center"/>
        </w:trPr>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sz w:val="21"/>
                <w:szCs w:val="21"/>
                <w:highlight w:val="none"/>
                <w:u w:val="none"/>
                <w:lang w:val="en-US" w:eastAsia="zh-CN"/>
              </w:rPr>
              <w:t>1</w:t>
            </w:r>
          </w:p>
        </w:tc>
        <w:tc>
          <w:tcPr>
            <w:tcW w:w="2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地形地貌景观监测</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次</w:t>
            </w:r>
          </w:p>
        </w:tc>
        <w:tc>
          <w:tcPr>
            <w:tcW w:w="24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sz w:val="21"/>
                <w:szCs w:val="21"/>
                <w:highlight w:val="none"/>
                <w:u w:val="none"/>
                <w:lang w:val="en-US" w:eastAsia="zh-CN"/>
              </w:rPr>
              <w:t>12</w:t>
            </w:r>
          </w:p>
        </w:tc>
      </w:tr>
      <w:tr>
        <w:tblPrEx>
          <w:shd w:val="clear" w:color="auto" w:fill="auto"/>
          <w:tblCellMar>
            <w:top w:w="0" w:type="dxa"/>
            <w:left w:w="108" w:type="dxa"/>
            <w:bottom w:w="0" w:type="dxa"/>
            <w:right w:w="108" w:type="dxa"/>
          </w:tblCellMar>
        </w:tblPrEx>
        <w:trPr>
          <w:trHeight w:val="340" w:hRule="atLeast"/>
          <w:jc w:val="center"/>
        </w:trPr>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sz w:val="21"/>
                <w:szCs w:val="21"/>
                <w:highlight w:val="none"/>
                <w:u w:val="none"/>
                <w:lang w:val="en-US" w:eastAsia="zh-CN"/>
              </w:rPr>
              <w:t>2</w:t>
            </w:r>
          </w:p>
        </w:tc>
        <w:tc>
          <w:tcPr>
            <w:tcW w:w="2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植被管护</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次</w:t>
            </w:r>
          </w:p>
        </w:tc>
        <w:tc>
          <w:tcPr>
            <w:tcW w:w="24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sz w:val="21"/>
                <w:szCs w:val="21"/>
                <w:highlight w:val="none"/>
                <w:u w:val="none"/>
                <w:lang w:val="en-US" w:eastAsia="zh-CN"/>
              </w:rPr>
              <w:t>2</w:t>
            </w:r>
          </w:p>
        </w:tc>
      </w:tr>
      <w:bookmarkEnd w:id="74"/>
    </w:tbl>
    <w:p>
      <w:pPr>
        <w:keepNext w:val="0"/>
        <w:keepLines w:val="0"/>
        <w:pageBreakBefore w:val="0"/>
        <w:widowControl/>
        <w:numPr>
          <w:ilvl w:val="0"/>
          <w:numId w:val="0"/>
        </w:numPr>
        <w:kinsoku/>
        <w:wordWrap/>
        <w:overflowPunct/>
        <w:topLinePunct w:val="0"/>
        <w:autoSpaceDE/>
        <w:autoSpaceDN/>
        <w:bidi w:val="0"/>
        <w:adjustRightInd w:val="0"/>
        <w:snapToGrid w:val="0"/>
        <w:spacing w:before="161" w:beforeLines="50" w:line="360" w:lineRule="auto"/>
        <w:ind w:leftChars="0"/>
        <w:jc w:val="both"/>
        <w:textAlignment w:val="auto"/>
        <w:outlineLvl w:val="9"/>
        <w:rPr>
          <w:rFonts w:hint="default" w:ascii="Times New Roman" w:hAnsi="Times New Roman" w:eastAsia="宋体" w:cs="Times New Roman"/>
          <w:b/>
          <w:bCs/>
          <w:color w:val="auto"/>
          <w:sz w:val="32"/>
          <w:szCs w:val="32"/>
          <w:lang w:val="en-US" w:eastAsia="zh-CN"/>
        </w:rPr>
      </w:pPr>
      <w:r>
        <w:rPr>
          <w:rFonts w:hint="eastAsia" w:ascii="Times New Roman" w:hAnsi="Times New Roman" w:eastAsia="宋体" w:cs="Times New Roman"/>
          <w:b/>
          <w:bCs/>
          <w:color w:val="auto"/>
          <w:sz w:val="28"/>
          <w:szCs w:val="28"/>
          <w:lang w:val="en-US" w:eastAsia="zh-CN"/>
        </w:rPr>
        <w:t>三</w:t>
      </w:r>
      <w:r>
        <w:rPr>
          <w:rFonts w:hint="default" w:ascii="Times New Roman" w:hAnsi="Times New Roman" w:eastAsia="宋体" w:cs="Times New Roman"/>
          <w:b/>
          <w:bCs/>
          <w:color w:val="auto"/>
          <w:sz w:val="28"/>
          <w:szCs w:val="28"/>
          <w:lang w:val="en-US" w:eastAsia="zh-CN"/>
        </w:rPr>
        <w:t>、经费估算</w:t>
      </w:r>
    </w:p>
    <w:p>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经估算，202</w:t>
      </w:r>
      <w:r>
        <w:rPr>
          <w:rFonts w:hint="eastAsia" w:eastAsia="宋体" w:cs="Times New Roman"/>
          <w:color w:val="auto"/>
          <w:kern w:val="0"/>
          <w:sz w:val="24"/>
          <w:szCs w:val="24"/>
          <w:lang w:val="en-US" w:eastAsia="zh-CN" w:bidi="ar"/>
        </w:rPr>
        <w:t>4</w:t>
      </w:r>
      <w:r>
        <w:rPr>
          <w:rFonts w:hint="default" w:ascii="Times New Roman" w:hAnsi="Times New Roman" w:eastAsia="宋体" w:cs="Times New Roman"/>
          <w:color w:val="auto"/>
          <w:kern w:val="0"/>
          <w:sz w:val="24"/>
          <w:szCs w:val="24"/>
          <w:lang w:val="en-US" w:eastAsia="zh-CN" w:bidi="ar"/>
        </w:rPr>
        <w:t>年度矿山地质环境治理费用为</w:t>
      </w:r>
      <w:r>
        <w:rPr>
          <w:rFonts w:hint="eastAsia" w:eastAsia="宋体" w:cs="Times New Roman"/>
          <w:color w:val="auto"/>
          <w:kern w:val="0"/>
          <w:sz w:val="24"/>
          <w:szCs w:val="24"/>
          <w:lang w:val="en-US" w:eastAsia="zh-CN" w:bidi="ar"/>
        </w:rPr>
        <w:t>0.96</w:t>
      </w:r>
      <w:r>
        <w:rPr>
          <w:rFonts w:hint="default" w:ascii="Times New Roman" w:hAnsi="Times New Roman" w:eastAsia="宋体" w:cs="Times New Roman"/>
          <w:color w:val="auto"/>
          <w:kern w:val="0"/>
          <w:sz w:val="24"/>
          <w:szCs w:val="24"/>
          <w:lang w:val="en-US" w:eastAsia="zh-CN" w:bidi="ar"/>
        </w:rPr>
        <w:t>万元。工程经费估算总额和各单项工程经费估算结果如下：</w:t>
      </w:r>
    </w:p>
    <w:p>
      <w:pPr>
        <w:keepNext w:val="0"/>
        <w:keepLines w:val="0"/>
        <w:pageBreakBefore w:val="0"/>
        <w:widowControl w:val="0"/>
        <w:tabs>
          <w:tab w:val="left" w:pos="7235"/>
        </w:tabs>
        <w:kinsoku/>
        <w:wordWrap/>
        <w:overflowPunct/>
        <w:topLinePunct w:val="0"/>
        <w:autoSpaceDE/>
        <w:autoSpaceDN/>
        <w:bidi w:val="0"/>
        <w:adjustRightInd w:val="0"/>
        <w:snapToGrid w:val="0"/>
        <w:spacing w:line="360" w:lineRule="auto"/>
        <w:ind w:right="-454" w:rightChars="-216" w:firstLine="0" w:firstLineChars="0"/>
        <w:jc w:val="center"/>
        <w:textAlignment w:val="auto"/>
        <w:rPr>
          <w:rFonts w:hint="default" w:ascii="黑体" w:hAnsi="黑体" w:eastAsia="黑体" w:cs="黑体"/>
          <w:b w:val="0"/>
          <w:bCs/>
          <w:color w:val="auto"/>
          <w:sz w:val="24"/>
          <w:szCs w:val="24"/>
          <w:highlight w:val="none"/>
        </w:rPr>
      </w:pPr>
      <w:r>
        <w:rPr>
          <w:rFonts w:hint="default" w:ascii="黑体" w:hAnsi="黑体" w:eastAsia="黑体" w:cs="黑体"/>
          <w:b w:val="0"/>
          <w:bCs/>
          <w:color w:val="auto"/>
          <w:sz w:val="24"/>
          <w:szCs w:val="24"/>
          <w:highlight w:val="none"/>
        </w:rPr>
        <w:t>表</w:t>
      </w:r>
      <w:r>
        <w:rPr>
          <w:rFonts w:hint="default" w:ascii="黑体" w:hAnsi="黑体" w:eastAsia="黑体" w:cs="黑体"/>
          <w:b w:val="0"/>
          <w:bCs/>
          <w:color w:val="auto"/>
          <w:sz w:val="24"/>
          <w:szCs w:val="24"/>
          <w:highlight w:val="none"/>
          <w:lang w:val="en-US" w:eastAsia="zh-CN"/>
        </w:rPr>
        <w:t>6-1</w:t>
      </w:r>
      <w:r>
        <w:rPr>
          <w:rFonts w:hint="eastAsia" w:ascii="黑体" w:hAnsi="黑体" w:eastAsia="黑体" w:cs="黑体"/>
          <w:b w:val="0"/>
          <w:bCs/>
          <w:color w:val="auto"/>
          <w:sz w:val="24"/>
          <w:szCs w:val="24"/>
          <w:highlight w:val="none"/>
          <w:lang w:val="en-US" w:eastAsia="zh-CN"/>
        </w:rPr>
        <w:t>2</w:t>
      </w:r>
      <w:r>
        <w:rPr>
          <w:rFonts w:hint="default" w:ascii="黑体" w:hAnsi="黑体" w:eastAsia="黑体" w:cs="黑体"/>
          <w:b w:val="0"/>
          <w:bCs/>
          <w:color w:val="auto"/>
          <w:sz w:val="24"/>
          <w:szCs w:val="24"/>
          <w:highlight w:val="none"/>
        </w:rPr>
        <w:t xml:space="preserve">  矿山地质环境治理及土地复垦工程经费预算总表</w:t>
      </w:r>
    </w:p>
    <w:tbl>
      <w:tblPr>
        <w:tblStyle w:val="9"/>
        <w:tblW w:w="494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96"/>
        <w:gridCol w:w="1947"/>
        <w:gridCol w:w="2383"/>
        <w:gridCol w:w="288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7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序号</w:t>
            </w:r>
          </w:p>
        </w:tc>
        <w:tc>
          <w:tcPr>
            <w:tcW w:w="11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工程或费用名称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预算金额（万元）</w:t>
            </w:r>
          </w:p>
        </w:tc>
        <w:tc>
          <w:tcPr>
            <w:tcW w:w="17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各费用占总费用的比例（%）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highlight w:val="none"/>
                <w:lang w:val="en-US" w:eastAsia="zh-CN"/>
              </w:rPr>
            </w:pPr>
          </w:p>
        </w:tc>
        <w:tc>
          <w:tcPr>
            <w:tcW w:w="11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2</w:t>
            </w:r>
          </w:p>
        </w:tc>
        <w:tc>
          <w:tcPr>
            <w:tcW w:w="17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一</w:t>
            </w:r>
          </w:p>
        </w:tc>
        <w:tc>
          <w:tcPr>
            <w:tcW w:w="11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工程施工费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0</w:t>
            </w:r>
          </w:p>
        </w:tc>
        <w:tc>
          <w:tcPr>
            <w:tcW w:w="17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二</w:t>
            </w:r>
          </w:p>
        </w:tc>
        <w:tc>
          <w:tcPr>
            <w:tcW w:w="11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其他费用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0</w:t>
            </w:r>
          </w:p>
        </w:tc>
        <w:tc>
          <w:tcPr>
            <w:tcW w:w="17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三</w:t>
            </w:r>
          </w:p>
        </w:tc>
        <w:tc>
          <w:tcPr>
            <w:tcW w:w="11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不可预见费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0</w:t>
            </w:r>
          </w:p>
        </w:tc>
        <w:tc>
          <w:tcPr>
            <w:tcW w:w="17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四</w:t>
            </w:r>
          </w:p>
        </w:tc>
        <w:tc>
          <w:tcPr>
            <w:tcW w:w="11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监测管护费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0.96</w:t>
            </w:r>
          </w:p>
        </w:tc>
        <w:tc>
          <w:tcPr>
            <w:tcW w:w="17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总  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宋体" w:hAnsi="宋体" w:eastAsia="宋体" w:cs="宋体"/>
                <w:b/>
                <w:bCs/>
                <w:i w:val="0"/>
                <w:iCs w:val="0"/>
                <w:color w:val="auto"/>
                <w:kern w:val="2"/>
                <w:sz w:val="22"/>
                <w:szCs w:val="22"/>
                <w:u w:val="none"/>
                <w:lang w:val="en-US" w:eastAsia="zh-CN" w:bidi="ar-SA"/>
              </w:rPr>
            </w:pPr>
            <w:r>
              <w:rPr>
                <w:rFonts w:hint="eastAsia" w:cs="Times New Roman"/>
                <w:b/>
                <w:bCs/>
                <w:color w:val="auto"/>
                <w:sz w:val="21"/>
                <w:szCs w:val="21"/>
                <w:highlight w:val="none"/>
                <w:lang w:val="en-US" w:eastAsia="zh-CN"/>
              </w:rPr>
              <w:t>0.96</w:t>
            </w:r>
          </w:p>
        </w:tc>
        <w:tc>
          <w:tcPr>
            <w:tcW w:w="17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 xml:space="preserve">100.00 </w:t>
            </w:r>
          </w:p>
        </w:tc>
      </w:tr>
    </w:tbl>
    <w:p>
      <w:pPr>
        <w:keepNext w:val="0"/>
        <w:keepLines w:val="0"/>
        <w:pageBreakBefore w:val="0"/>
        <w:widowControl w:val="0"/>
        <w:tabs>
          <w:tab w:val="left" w:pos="7235"/>
        </w:tabs>
        <w:kinsoku/>
        <w:wordWrap/>
        <w:overflowPunct/>
        <w:topLinePunct w:val="0"/>
        <w:autoSpaceDE/>
        <w:autoSpaceDN/>
        <w:bidi w:val="0"/>
        <w:adjustRightInd w:val="0"/>
        <w:snapToGrid w:val="0"/>
        <w:spacing w:before="161" w:beforeLines="50" w:line="360" w:lineRule="auto"/>
        <w:ind w:right="-454" w:rightChars="-216" w:firstLine="0" w:firstLineChars="0"/>
        <w:jc w:val="center"/>
        <w:textAlignment w:val="auto"/>
        <w:rPr>
          <w:rFonts w:hint="default" w:ascii="黑体" w:hAnsi="黑体" w:eastAsia="黑体" w:cs="黑体"/>
          <w:b w:val="0"/>
          <w:bCs/>
          <w:color w:val="auto"/>
          <w:sz w:val="24"/>
          <w:szCs w:val="24"/>
          <w:highlight w:val="none"/>
          <w:lang w:val="en-US" w:eastAsia="zh-CN"/>
        </w:rPr>
      </w:pPr>
      <w:r>
        <w:rPr>
          <w:rFonts w:hint="default" w:ascii="黑体" w:hAnsi="黑体" w:eastAsia="黑体" w:cs="黑体"/>
          <w:b w:val="0"/>
          <w:bCs/>
          <w:color w:val="auto"/>
          <w:sz w:val="24"/>
          <w:szCs w:val="24"/>
          <w:highlight w:val="none"/>
          <w:lang w:val="en-US" w:eastAsia="zh-CN"/>
        </w:rPr>
        <w:t>表6-</w:t>
      </w:r>
      <w:r>
        <w:rPr>
          <w:rFonts w:hint="eastAsia" w:ascii="黑体" w:hAnsi="黑体" w:eastAsia="黑体" w:cs="黑体"/>
          <w:b w:val="0"/>
          <w:bCs/>
          <w:color w:val="auto"/>
          <w:sz w:val="24"/>
          <w:szCs w:val="24"/>
          <w:highlight w:val="none"/>
          <w:lang w:val="en-US" w:eastAsia="zh-CN"/>
        </w:rPr>
        <w:t>1</w:t>
      </w:r>
      <w:r>
        <w:rPr>
          <w:rFonts w:hint="default" w:ascii="黑体" w:hAnsi="黑体" w:eastAsia="黑体" w:cs="黑体"/>
          <w:b w:val="0"/>
          <w:bCs/>
          <w:color w:val="auto"/>
          <w:sz w:val="24"/>
          <w:szCs w:val="24"/>
          <w:highlight w:val="none"/>
          <w:lang w:val="en-US" w:eastAsia="zh-CN"/>
        </w:rPr>
        <w:t>3   监测费计算表</w:t>
      </w:r>
    </w:p>
    <w:tbl>
      <w:tblPr>
        <w:tblStyle w:val="9"/>
        <w:tblW w:w="8438" w:type="dxa"/>
        <w:jc w:val="center"/>
        <w:tblLayout w:type="fixed"/>
        <w:tblCellMar>
          <w:top w:w="0" w:type="dxa"/>
          <w:left w:w="108" w:type="dxa"/>
          <w:bottom w:w="0" w:type="dxa"/>
          <w:right w:w="108" w:type="dxa"/>
        </w:tblCellMar>
      </w:tblPr>
      <w:tblGrid>
        <w:gridCol w:w="1187"/>
        <w:gridCol w:w="1704"/>
        <w:gridCol w:w="1788"/>
        <w:gridCol w:w="1762"/>
        <w:gridCol w:w="1997"/>
      </w:tblGrid>
      <w:tr>
        <w:tblPrEx>
          <w:tblCellMar>
            <w:top w:w="0" w:type="dxa"/>
            <w:left w:w="108" w:type="dxa"/>
            <w:bottom w:w="0" w:type="dxa"/>
            <w:right w:w="108" w:type="dxa"/>
          </w:tblCellMar>
        </w:tblPrEx>
        <w:trPr>
          <w:trHeight w:val="340" w:hRule="atLeast"/>
          <w:jc w:val="center"/>
        </w:trPr>
        <w:tc>
          <w:tcPr>
            <w:tcW w:w="1187" w:type="dxa"/>
            <w:vMerge w:val="restart"/>
            <w:tcBorders>
              <w:top w:val="single" w:color="auto" w:sz="4" w:space="0"/>
              <w:left w:val="single" w:color="auto" w:sz="4" w:space="0"/>
              <w:bottom w:val="single" w:color="auto" w:sz="4" w:space="0"/>
              <w:right w:val="single" w:color="auto" w:sz="4" w:space="0"/>
            </w:tcBorders>
            <w:noWrap/>
            <w:vAlign w:val="center"/>
          </w:tcPr>
          <w:p>
            <w:pPr>
              <w:widowControl/>
              <w:spacing w:line="240" w:lineRule="auto"/>
              <w:ind w:firstLine="0" w:firstLineChars="0"/>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序号</w:t>
            </w:r>
          </w:p>
        </w:tc>
        <w:tc>
          <w:tcPr>
            <w:tcW w:w="1704" w:type="dxa"/>
            <w:tcBorders>
              <w:top w:val="single" w:color="auto" w:sz="4" w:space="0"/>
              <w:left w:val="nil"/>
              <w:bottom w:val="single" w:color="auto" w:sz="4" w:space="0"/>
              <w:right w:val="single" w:color="auto" w:sz="4" w:space="0"/>
            </w:tcBorders>
            <w:noWrap/>
            <w:vAlign w:val="center"/>
          </w:tcPr>
          <w:p>
            <w:pPr>
              <w:widowControl/>
              <w:spacing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单项名称</w:t>
            </w:r>
          </w:p>
        </w:tc>
        <w:tc>
          <w:tcPr>
            <w:tcW w:w="1788" w:type="dxa"/>
            <w:tcBorders>
              <w:top w:val="single" w:color="auto" w:sz="4" w:space="0"/>
              <w:left w:val="nil"/>
              <w:bottom w:val="single" w:color="auto" w:sz="4" w:space="0"/>
              <w:right w:val="single" w:color="auto" w:sz="4" w:space="0"/>
            </w:tcBorders>
            <w:noWrap/>
            <w:vAlign w:val="center"/>
          </w:tcPr>
          <w:p>
            <w:pPr>
              <w:widowControl/>
              <w:spacing w:line="240" w:lineRule="auto"/>
              <w:ind w:firstLine="0" w:firstLineChars="0"/>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单价（元）</w:t>
            </w:r>
          </w:p>
        </w:tc>
        <w:tc>
          <w:tcPr>
            <w:tcW w:w="1762" w:type="dxa"/>
            <w:tcBorders>
              <w:top w:val="single" w:color="auto" w:sz="4" w:space="0"/>
              <w:left w:val="nil"/>
              <w:bottom w:val="single" w:color="auto" w:sz="4" w:space="0"/>
              <w:right w:val="single" w:color="auto" w:sz="8" w:space="0"/>
            </w:tcBorders>
            <w:noWrap/>
            <w:vAlign w:val="center"/>
          </w:tcPr>
          <w:p>
            <w:pPr>
              <w:widowControl/>
              <w:spacing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次数</w:t>
            </w:r>
          </w:p>
        </w:tc>
        <w:tc>
          <w:tcPr>
            <w:tcW w:w="1997" w:type="dxa"/>
            <w:tcBorders>
              <w:top w:val="single" w:color="auto" w:sz="4" w:space="0"/>
              <w:left w:val="single" w:color="auto" w:sz="8" w:space="0"/>
              <w:bottom w:val="single" w:color="auto" w:sz="4" w:space="0"/>
              <w:right w:val="single" w:color="auto" w:sz="4" w:space="0"/>
            </w:tcBorders>
            <w:noWrap w:val="0"/>
            <w:vAlign w:val="center"/>
          </w:tcPr>
          <w:p>
            <w:pPr>
              <w:widowControl/>
              <w:spacing w:line="240" w:lineRule="auto"/>
              <w:ind w:firstLine="0" w:firstLineChars="0"/>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预算金额</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eastAsia="zh-CN"/>
              </w:rPr>
              <w:t>万</w:t>
            </w:r>
            <w:r>
              <w:rPr>
                <w:rFonts w:hint="default" w:ascii="Times New Roman" w:hAnsi="Times New Roman" w:eastAsia="宋体" w:cs="Times New Roman"/>
                <w:color w:val="auto"/>
                <w:sz w:val="21"/>
                <w:szCs w:val="21"/>
              </w:rPr>
              <w:t>元）</w:t>
            </w:r>
          </w:p>
        </w:tc>
      </w:tr>
      <w:tr>
        <w:tblPrEx>
          <w:tblCellMar>
            <w:top w:w="0" w:type="dxa"/>
            <w:left w:w="108" w:type="dxa"/>
            <w:bottom w:w="0" w:type="dxa"/>
            <w:right w:w="108" w:type="dxa"/>
          </w:tblCellMar>
        </w:tblPrEx>
        <w:trPr>
          <w:trHeight w:val="340" w:hRule="atLeast"/>
          <w:jc w:val="center"/>
        </w:trPr>
        <w:tc>
          <w:tcPr>
            <w:tcW w:w="118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adjustRightInd/>
              <w:snapToGrid/>
              <w:spacing w:line="240" w:lineRule="auto"/>
              <w:ind w:firstLine="0" w:firstLineChars="0"/>
              <w:jc w:val="left"/>
              <w:rPr>
                <w:rFonts w:hint="default" w:ascii="Times New Roman" w:hAnsi="Times New Roman" w:eastAsia="宋体" w:cs="Times New Roman"/>
                <w:color w:val="auto"/>
                <w:kern w:val="0"/>
                <w:sz w:val="21"/>
                <w:szCs w:val="21"/>
              </w:rPr>
            </w:pPr>
          </w:p>
        </w:tc>
        <w:tc>
          <w:tcPr>
            <w:tcW w:w="1704" w:type="dxa"/>
            <w:tcBorders>
              <w:top w:val="nil"/>
              <w:left w:val="nil"/>
              <w:bottom w:val="single" w:color="auto" w:sz="4" w:space="0"/>
              <w:right w:val="single" w:color="auto" w:sz="4" w:space="0"/>
            </w:tcBorders>
            <w:noWrap/>
            <w:vAlign w:val="center"/>
          </w:tcPr>
          <w:p>
            <w:pPr>
              <w:widowControl/>
              <w:spacing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p>
        </w:tc>
        <w:tc>
          <w:tcPr>
            <w:tcW w:w="1788" w:type="dxa"/>
            <w:tcBorders>
              <w:top w:val="nil"/>
              <w:left w:val="nil"/>
              <w:bottom w:val="single" w:color="auto" w:sz="4" w:space="0"/>
              <w:right w:val="single" w:color="auto" w:sz="4" w:space="0"/>
            </w:tcBorders>
            <w:noWrap/>
            <w:vAlign w:val="center"/>
          </w:tcPr>
          <w:p>
            <w:pPr>
              <w:widowControl/>
              <w:spacing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w:t>
            </w:r>
          </w:p>
        </w:tc>
        <w:tc>
          <w:tcPr>
            <w:tcW w:w="1762" w:type="dxa"/>
            <w:tcBorders>
              <w:top w:val="nil"/>
              <w:left w:val="nil"/>
              <w:bottom w:val="single" w:color="auto" w:sz="4" w:space="0"/>
              <w:right w:val="single" w:color="auto" w:sz="8" w:space="0"/>
            </w:tcBorders>
            <w:noWrap/>
            <w:vAlign w:val="center"/>
          </w:tcPr>
          <w:p>
            <w:pPr>
              <w:widowControl/>
              <w:spacing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w:t>
            </w:r>
          </w:p>
        </w:tc>
        <w:tc>
          <w:tcPr>
            <w:tcW w:w="1997" w:type="dxa"/>
            <w:tcBorders>
              <w:top w:val="nil"/>
              <w:left w:val="single" w:color="auto" w:sz="8" w:space="0"/>
              <w:bottom w:val="single" w:color="auto" w:sz="4" w:space="0"/>
              <w:right w:val="single" w:color="auto" w:sz="4" w:space="0"/>
            </w:tcBorders>
            <w:noWrap w:val="0"/>
            <w:vAlign w:val="center"/>
          </w:tcPr>
          <w:p>
            <w:pPr>
              <w:spacing w:line="240" w:lineRule="auto"/>
              <w:ind w:firstLine="0" w:firstLineChars="0"/>
              <w:jc w:val="center"/>
              <w:rPr>
                <w:rFonts w:hint="default" w:ascii="Times New Roman" w:hAnsi="Times New Roman" w:eastAsia="宋体" w:cs="Times New Roman"/>
                <w:color w:val="auto"/>
                <w:kern w:val="0"/>
                <w:sz w:val="21"/>
                <w:szCs w:val="21"/>
              </w:rPr>
            </w:pPr>
          </w:p>
        </w:tc>
      </w:tr>
      <w:tr>
        <w:tblPrEx>
          <w:tblCellMar>
            <w:top w:w="0" w:type="dxa"/>
            <w:left w:w="108" w:type="dxa"/>
            <w:bottom w:w="0" w:type="dxa"/>
            <w:right w:w="108" w:type="dxa"/>
          </w:tblCellMar>
        </w:tblPrEx>
        <w:trPr>
          <w:trHeight w:val="340" w:hRule="atLeast"/>
          <w:jc w:val="center"/>
        </w:trPr>
        <w:tc>
          <w:tcPr>
            <w:tcW w:w="1187" w:type="dxa"/>
            <w:tcBorders>
              <w:top w:val="nil"/>
              <w:left w:val="single" w:color="auto" w:sz="4" w:space="0"/>
              <w:bottom w:val="single" w:color="auto" w:sz="4" w:space="0"/>
              <w:right w:val="single" w:color="auto" w:sz="4" w:space="0"/>
            </w:tcBorders>
            <w:noWrap/>
            <w:vAlign w:val="center"/>
          </w:tcPr>
          <w:p>
            <w:pPr>
              <w:widowControl/>
              <w:spacing w:line="240" w:lineRule="auto"/>
              <w:ind w:firstLine="0" w:firstLineChars="0"/>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p>
        </w:tc>
        <w:tc>
          <w:tcPr>
            <w:tcW w:w="1704" w:type="dxa"/>
            <w:tcBorders>
              <w:top w:val="nil"/>
              <w:left w:val="nil"/>
              <w:bottom w:val="single" w:color="auto" w:sz="4" w:space="0"/>
              <w:right w:val="single" w:color="auto" w:sz="4" w:space="0"/>
            </w:tcBorders>
            <w:noWrap/>
            <w:vAlign w:val="center"/>
          </w:tcPr>
          <w:p>
            <w:pPr>
              <w:widowControl/>
              <w:spacing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监测费</w:t>
            </w:r>
          </w:p>
        </w:tc>
        <w:tc>
          <w:tcPr>
            <w:tcW w:w="1788" w:type="dxa"/>
            <w:tcBorders>
              <w:top w:val="nil"/>
              <w:left w:val="nil"/>
              <w:bottom w:val="single" w:color="auto" w:sz="4" w:space="0"/>
              <w:right w:val="single" w:color="auto" w:sz="4" w:space="0"/>
            </w:tcBorders>
            <w:noWrap/>
            <w:vAlign w:val="center"/>
          </w:tcPr>
          <w:p>
            <w:pPr>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eastAsia" w:eastAsia="宋体" w:cs="Times New Roman"/>
                <w:color w:val="auto"/>
                <w:sz w:val="21"/>
                <w:szCs w:val="21"/>
                <w:lang w:val="en-US" w:eastAsia="zh-CN"/>
              </w:rPr>
              <w:t>600</w:t>
            </w:r>
          </w:p>
        </w:tc>
        <w:tc>
          <w:tcPr>
            <w:tcW w:w="1762" w:type="dxa"/>
            <w:tcBorders>
              <w:top w:val="nil"/>
              <w:left w:val="nil"/>
              <w:bottom w:val="single" w:color="auto" w:sz="4" w:space="0"/>
              <w:right w:val="single" w:color="auto" w:sz="8" w:space="0"/>
            </w:tcBorders>
            <w:noWrap/>
            <w:vAlign w:val="center"/>
          </w:tcPr>
          <w:p>
            <w:pPr>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1</w:t>
            </w:r>
            <w:r>
              <w:rPr>
                <w:rFonts w:hint="default" w:ascii="Times New Roman" w:hAnsi="Times New Roman" w:eastAsia="宋体" w:cs="Times New Roman"/>
                <w:color w:val="auto"/>
                <w:sz w:val="21"/>
                <w:szCs w:val="21"/>
                <w:lang w:val="en-US" w:eastAsia="zh-CN"/>
              </w:rPr>
              <w:t>2</w:t>
            </w:r>
          </w:p>
        </w:tc>
        <w:tc>
          <w:tcPr>
            <w:tcW w:w="1997" w:type="dxa"/>
            <w:tcBorders>
              <w:top w:val="nil"/>
              <w:left w:val="single" w:color="auto" w:sz="8" w:space="0"/>
              <w:bottom w:val="single" w:color="auto" w:sz="4" w:space="0"/>
              <w:right w:val="single" w:color="auto" w:sz="4" w:space="0"/>
            </w:tcBorders>
            <w:noWrap w:val="0"/>
            <w:vAlign w:val="center"/>
          </w:tcPr>
          <w:p>
            <w:pPr>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w:t>
            </w:r>
            <w:r>
              <w:rPr>
                <w:rFonts w:hint="eastAsia" w:eastAsia="宋体" w:cs="Times New Roman"/>
                <w:color w:val="auto"/>
                <w:sz w:val="21"/>
                <w:szCs w:val="21"/>
                <w:lang w:val="en-US" w:eastAsia="zh-CN"/>
              </w:rPr>
              <w:t>72</w:t>
            </w:r>
          </w:p>
        </w:tc>
      </w:tr>
      <w:tr>
        <w:tblPrEx>
          <w:tblCellMar>
            <w:top w:w="0" w:type="dxa"/>
            <w:left w:w="108" w:type="dxa"/>
            <w:bottom w:w="0" w:type="dxa"/>
            <w:right w:w="108" w:type="dxa"/>
          </w:tblCellMar>
        </w:tblPrEx>
        <w:trPr>
          <w:trHeight w:val="340" w:hRule="atLeast"/>
          <w:jc w:val="center"/>
        </w:trPr>
        <w:tc>
          <w:tcPr>
            <w:tcW w:w="1187" w:type="dxa"/>
            <w:tcBorders>
              <w:top w:val="nil"/>
              <w:left w:val="single" w:color="auto" w:sz="4" w:space="0"/>
              <w:bottom w:val="single" w:color="auto" w:sz="4" w:space="0"/>
              <w:right w:val="single" w:color="auto" w:sz="4" w:space="0"/>
            </w:tcBorders>
            <w:noWrap/>
            <w:vAlign w:val="center"/>
          </w:tcPr>
          <w:p>
            <w:pPr>
              <w:widowControl/>
              <w:spacing w:line="240" w:lineRule="auto"/>
              <w:ind w:firstLine="0" w:firstLineChars="0"/>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2</w:t>
            </w:r>
          </w:p>
        </w:tc>
        <w:tc>
          <w:tcPr>
            <w:tcW w:w="1704" w:type="dxa"/>
            <w:tcBorders>
              <w:top w:val="nil"/>
              <w:left w:val="nil"/>
              <w:bottom w:val="single" w:color="auto" w:sz="4" w:space="0"/>
              <w:right w:val="single" w:color="auto" w:sz="4" w:space="0"/>
            </w:tcBorders>
            <w:noWrap/>
            <w:vAlign w:val="center"/>
          </w:tcPr>
          <w:p>
            <w:pPr>
              <w:widowControl/>
              <w:spacing w:line="240" w:lineRule="auto"/>
              <w:ind w:firstLine="0" w:firstLineChars="0"/>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eastAsia="zh-CN"/>
              </w:rPr>
              <w:t>管护费</w:t>
            </w:r>
          </w:p>
        </w:tc>
        <w:tc>
          <w:tcPr>
            <w:tcW w:w="1788" w:type="dxa"/>
            <w:tcBorders>
              <w:top w:val="nil"/>
              <w:left w:val="nil"/>
              <w:bottom w:val="single" w:color="auto" w:sz="4" w:space="0"/>
              <w:right w:val="single" w:color="auto" w:sz="4" w:space="0"/>
            </w:tcBorders>
            <w:noWrap/>
            <w:vAlign w:val="center"/>
          </w:tcPr>
          <w:p>
            <w:pPr>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eastAsia="宋体" w:cs="Times New Roman"/>
                <w:color w:val="auto"/>
                <w:sz w:val="21"/>
                <w:szCs w:val="21"/>
                <w:lang w:val="en-US" w:eastAsia="zh-CN"/>
              </w:rPr>
              <w:t>10</w:t>
            </w:r>
            <w:r>
              <w:rPr>
                <w:rFonts w:hint="default" w:ascii="Times New Roman" w:hAnsi="Times New Roman" w:eastAsia="宋体" w:cs="Times New Roman"/>
                <w:color w:val="auto"/>
                <w:sz w:val="21"/>
                <w:szCs w:val="21"/>
                <w:lang w:val="en-US" w:eastAsia="zh-CN"/>
              </w:rPr>
              <w:t>00</w:t>
            </w:r>
          </w:p>
        </w:tc>
        <w:tc>
          <w:tcPr>
            <w:tcW w:w="1762" w:type="dxa"/>
            <w:tcBorders>
              <w:top w:val="nil"/>
              <w:left w:val="nil"/>
              <w:bottom w:val="single" w:color="auto" w:sz="4" w:space="0"/>
              <w:right w:val="single" w:color="auto" w:sz="8" w:space="0"/>
            </w:tcBorders>
            <w:noWrap/>
            <w:vAlign w:val="center"/>
          </w:tcPr>
          <w:p>
            <w:pPr>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w:t>
            </w:r>
          </w:p>
        </w:tc>
        <w:tc>
          <w:tcPr>
            <w:tcW w:w="1997" w:type="dxa"/>
            <w:tcBorders>
              <w:top w:val="nil"/>
              <w:left w:val="single" w:color="auto" w:sz="8" w:space="0"/>
              <w:bottom w:val="single" w:color="auto" w:sz="4" w:space="0"/>
              <w:right w:val="single" w:color="auto" w:sz="4" w:space="0"/>
            </w:tcBorders>
            <w:noWrap w:val="0"/>
            <w:vAlign w:val="center"/>
          </w:tcPr>
          <w:p>
            <w:pPr>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w:t>
            </w:r>
            <w:r>
              <w:rPr>
                <w:rFonts w:hint="eastAsia" w:eastAsia="宋体" w:cs="Times New Roman"/>
                <w:color w:val="auto"/>
                <w:sz w:val="21"/>
                <w:szCs w:val="21"/>
                <w:lang w:val="en-US" w:eastAsia="zh-CN"/>
              </w:rPr>
              <w:t>20</w:t>
            </w:r>
          </w:p>
        </w:tc>
      </w:tr>
      <w:tr>
        <w:tblPrEx>
          <w:tblCellMar>
            <w:top w:w="0" w:type="dxa"/>
            <w:left w:w="108" w:type="dxa"/>
            <w:bottom w:w="0" w:type="dxa"/>
            <w:right w:w="108" w:type="dxa"/>
          </w:tblCellMar>
        </w:tblPrEx>
        <w:trPr>
          <w:trHeight w:val="340" w:hRule="atLeast"/>
          <w:jc w:val="center"/>
        </w:trPr>
        <w:tc>
          <w:tcPr>
            <w:tcW w:w="2891"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240" w:lineRule="auto"/>
              <w:ind w:firstLine="0" w:firstLineChars="0"/>
              <w:jc w:val="center"/>
              <w:rPr>
                <w:rFonts w:hint="default" w:ascii="Times New Roman" w:hAnsi="Times New Roman" w:eastAsia="宋体" w:cs="Times New Roman"/>
                <w:bCs/>
                <w:color w:val="auto"/>
                <w:kern w:val="0"/>
                <w:sz w:val="21"/>
                <w:szCs w:val="21"/>
              </w:rPr>
            </w:pPr>
            <w:r>
              <w:rPr>
                <w:rFonts w:hint="default" w:ascii="Times New Roman" w:hAnsi="Times New Roman" w:eastAsia="宋体" w:cs="Times New Roman"/>
                <w:bCs/>
                <w:color w:val="auto"/>
                <w:kern w:val="0"/>
                <w:sz w:val="21"/>
                <w:szCs w:val="21"/>
              </w:rPr>
              <w:t>总      计</w:t>
            </w:r>
          </w:p>
        </w:tc>
        <w:tc>
          <w:tcPr>
            <w:tcW w:w="1788" w:type="dxa"/>
            <w:tcBorders>
              <w:top w:val="nil"/>
              <w:left w:val="nil"/>
              <w:bottom w:val="single" w:color="auto" w:sz="4" w:space="0"/>
              <w:right w:val="single" w:color="auto" w:sz="4" w:space="0"/>
            </w:tcBorders>
            <w:noWrap/>
            <w:vAlign w:val="center"/>
          </w:tcPr>
          <w:p>
            <w:pPr>
              <w:widowControl/>
              <w:spacing w:line="240" w:lineRule="auto"/>
              <w:ind w:firstLine="0" w:firstLineChars="0"/>
              <w:jc w:val="center"/>
              <w:rPr>
                <w:rFonts w:hint="default" w:ascii="Times New Roman" w:hAnsi="Times New Roman" w:eastAsia="宋体" w:cs="Times New Roman"/>
                <w:bCs/>
                <w:color w:val="auto"/>
                <w:kern w:val="0"/>
                <w:sz w:val="21"/>
                <w:szCs w:val="21"/>
              </w:rPr>
            </w:pPr>
            <w:r>
              <w:rPr>
                <w:rFonts w:hint="default" w:ascii="Times New Roman" w:hAnsi="Times New Roman" w:eastAsia="宋体" w:cs="Times New Roman"/>
                <w:bCs/>
                <w:color w:val="auto"/>
                <w:sz w:val="21"/>
                <w:szCs w:val="21"/>
              </w:rPr>
              <w:t>-</w:t>
            </w:r>
          </w:p>
        </w:tc>
        <w:tc>
          <w:tcPr>
            <w:tcW w:w="1762" w:type="dxa"/>
            <w:tcBorders>
              <w:top w:val="nil"/>
              <w:left w:val="nil"/>
              <w:bottom w:val="single" w:color="auto" w:sz="4" w:space="0"/>
              <w:right w:val="single" w:color="auto" w:sz="8" w:space="0"/>
            </w:tcBorders>
            <w:noWrap/>
            <w:vAlign w:val="center"/>
          </w:tcPr>
          <w:p>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 w:val="21"/>
                <w:szCs w:val="21"/>
              </w:rPr>
              <w:t>-</w:t>
            </w:r>
          </w:p>
        </w:tc>
        <w:tc>
          <w:tcPr>
            <w:tcW w:w="1997" w:type="dxa"/>
            <w:tcBorders>
              <w:top w:val="nil"/>
              <w:left w:val="single" w:color="auto" w:sz="8" w:space="0"/>
              <w:bottom w:val="single" w:color="auto" w:sz="4" w:space="0"/>
              <w:right w:val="single" w:color="auto" w:sz="4" w:space="0"/>
            </w:tcBorders>
            <w:noWrap w:val="0"/>
            <w:vAlign w:val="center"/>
          </w:tcPr>
          <w:p>
            <w:pPr>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
                <w:bCs/>
                <w:color w:val="auto"/>
                <w:sz w:val="21"/>
                <w:szCs w:val="21"/>
                <w:lang w:val="en-US" w:eastAsia="zh-CN"/>
              </w:rPr>
              <w:t>0.</w:t>
            </w:r>
            <w:r>
              <w:rPr>
                <w:rFonts w:hint="eastAsia" w:eastAsia="宋体" w:cs="Times New Roman"/>
                <w:b/>
                <w:bCs/>
                <w:color w:val="auto"/>
                <w:sz w:val="21"/>
                <w:szCs w:val="21"/>
                <w:lang w:val="en-US" w:eastAsia="zh-CN"/>
              </w:rPr>
              <w:t>96</w:t>
            </w:r>
          </w:p>
        </w:tc>
      </w:tr>
    </w:tbl>
    <w:p>
      <w:pPr>
        <w:pStyle w:val="2"/>
        <w:keepNext w:val="0"/>
        <w:keepLines w:val="0"/>
        <w:pageBreakBefore w:val="0"/>
        <w:widowControl w:val="0"/>
        <w:tabs>
          <w:tab w:val="left" w:pos="612"/>
        </w:tabs>
        <w:kinsoku/>
        <w:wordWrap/>
        <w:overflowPunct/>
        <w:topLinePunct w:val="0"/>
        <w:autoSpaceDE w:val="0"/>
        <w:autoSpaceDN w:val="0"/>
        <w:bidi w:val="0"/>
        <w:adjustRightInd w:val="0"/>
        <w:snapToGrid/>
        <w:spacing w:line="360" w:lineRule="auto"/>
        <w:ind w:firstLine="480" w:firstLineChars="200"/>
        <w:textAlignment w:val="auto"/>
        <w:rPr>
          <w:rFonts w:hint="default" w:ascii="Times New Roman" w:hAnsi="Times New Roman" w:eastAsia="宋体" w:cs="Times New Roman"/>
          <w:color w:val="auto"/>
          <w:lang w:val="en-US" w:eastAsia="zh-CN"/>
        </w:rPr>
      </w:pPr>
    </w:p>
    <w:p>
      <w:pPr>
        <w:jc w:val="both"/>
        <w:rPr>
          <w:rFonts w:hint="default" w:ascii="Times New Roman" w:hAnsi="Times New Roman" w:eastAsia="宋体" w:cs="Times New Roman"/>
          <w:color w:val="auto"/>
          <w:lang w:val="en-US" w:eastAsia="zh-CN"/>
        </w:rPr>
      </w:pPr>
    </w:p>
    <w:sectPr>
      <w:footerReference r:id="rId3" w:type="default"/>
      <w:pgSz w:w="11906" w:h="16838"/>
      <w:pgMar w:top="1440" w:right="1803" w:bottom="1440" w:left="1803" w:header="851" w:footer="992" w:gutter="0"/>
      <w:pgNumType w:fmt="decimal" w:start="1"/>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
    <w:altName w:val="Calibri"/>
    <w:panose1 w:val="020F0502020204030204"/>
    <w:charset w:val="00"/>
    <w:family w:val="auto"/>
    <w:pitch w:val="default"/>
    <w:sig w:usb0="00000000" w:usb1="00000000" w:usb2="00000000" w:usb3="00000000" w:csb0="000000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054031"/>
    <w:multiLevelType w:val="singleLevel"/>
    <w:tmpl w:val="A3054031"/>
    <w:lvl w:ilvl="0" w:tentative="0">
      <w:start w:val="1"/>
      <w:numFmt w:val="chineseCounting"/>
      <w:suff w:val="space"/>
      <w:lvlText w:val="第%1章"/>
      <w:lvlJc w:val="left"/>
      <w:rPr>
        <w:rFonts w:hint="eastAsia"/>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zNmY0NTI1NDA5YzFkY2ZiNjNiMzljZGVkYzA1M2IifQ=="/>
  </w:docVars>
  <w:rsids>
    <w:rsidRoot w:val="00000000"/>
    <w:rsid w:val="0004181F"/>
    <w:rsid w:val="002A12F8"/>
    <w:rsid w:val="003E2060"/>
    <w:rsid w:val="00547A8D"/>
    <w:rsid w:val="0091094F"/>
    <w:rsid w:val="00F067C1"/>
    <w:rsid w:val="011E3D43"/>
    <w:rsid w:val="014149CF"/>
    <w:rsid w:val="01421EE6"/>
    <w:rsid w:val="014418DF"/>
    <w:rsid w:val="015368D6"/>
    <w:rsid w:val="01551D7C"/>
    <w:rsid w:val="01654149"/>
    <w:rsid w:val="01972B27"/>
    <w:rsid w:val="01CA5032"/>
    <w:rsid w:val="01D03F18"/>
    <w:rsid w:val="01F27A57"/>
    <w:rsid w:val="02032C9E"/>
    <w:rsid w:val="02067528"/>
    <w:rsid w:val="022A18E3"/>
    <w:rsid w:val="024C294B"/>
    <w:rsid w:val="02537CDE"/>
    <w:rsid w:val="026D41DA"/>
    <w:rsid w:val="029B40B1"/>
    <w:rsid w:val="02B0501B"/>
    <w:rsid w:val="02B1297B"/>
    <w:rsid w:val="02ED6A53"/>
    <w:rsid w:val="030942E8"/>
    <w:rsid w:val="034E3B4F"/>
    <w:rsid w:val="03BF0E6A"/>
    <w:rsid w:val="03D072C5"/>
    <w:rsid w:val="0407269E"/>
    <w:rsid w:val="04295D2D"/>
    <w:rsid w:val="043344C1"/>
    <w:rsid w:val="04354458"/>
    <w:rsid w:val="045B4090"/>
    <w:rsid w:val="045D75A7"/>
    <w:rsid w:val="04713170"/>
    <w:rsid w:val="04845504"/>
    <w:rsid w:val="04921415"/>
    <w:rsid w:val="04A72094"/>
    <w:rsid w:val="04AE36D8"/>
    <w:rsid w:val="04C27C75"/>
    <w:rsid w:val="04C93D2D"/>
    <w:rsid w:val="04CC620A"/>
    <w:rsid w:val="05051ED8"/>
    <w:rsid w:val="05575845"/>
    <w:rsid w:val="05697AA6"/>
    <w:rsid w:val="0573143B"/>
    <w:rsid w:val="05AC058C"/>
    <w:rsid w:val="05E663E9"/>
    <w:rsid w:val="05E94F48"/>
    <w:rsid w:val="05FD781D"/>
    <w:rsid w:val="06EB0AF0"/>
    <w:rsid w:val="07802B4A"/>
    <w:rsid w:val="07BB0C50"/>
    <w:rsid w:val="07BB2E24"/>
    <w:rsid w:val="087E787A"/>
    <w:rsid w:val="08C12F78"/>
    <w:rsid w:val="09031EE9"/>
    <w:rsid w:val="092337CD"/>
    <w:rsid w:val="093A23D2"/>
    <w:rsid w:val="093E007F"/>
    <w:rsid w:val="0970164B"/>
    <w:rsid w:val="097309BF"/>
    <w:rsid w:val="097A704F"/>
    <w:rsid w:val="09854FD5"/>
    <w:rsid w:val="09CA103E"/>
    <w:rsid w:val="09E1433D"/>
    <w:rsid w:val="0A132DAA"/>
    <w:rsid w:val="0A1D33BC"/>
    <w:rsid w:val="0A327C08"/>
    <w:rsid w:val="0A4A626F"/>
    <w:rsid w:val="0A564ED9"/>
    <w:rsid w:val="0A6D7FB6"/>
    <w:rsid w:val="0A957988"/>
    <w:rsid w:val="0AA45108"/>
    <w:rsid w:val="0AAF6474"/>
    <w:rsid w:val="0AC967C5"/>
    <w:rsid w:val="0AD26265"/>
    <w:rsid w:val="0AF77353"/>
    <w:rsid w:val="0B1734A6"/>
    <w:rsid w:val="0B315998"/>
    <w:rsid w:val="0B442FDE"/>
    <w:rsid w:val="0BCE13AE"/>
    <w:rsid w:val="0BF87A02"/>
    <w:rsid w:val="0C0850E6"/>
    <w:rsid w:val="0C1A1927"/>
    <w:rsid w:val="0C4A48FF"/>
    <w:rsid w:val="0C4B306E"/>
    <w:rsid w:val="0C811C80"/>
    <w:rsid w:val="0D082D3D"/>
    <w:rsid w:val="0D0E4E1E"/>
    <w:rsid w:val="0D1C5BA8"/>
    <w:rsid w:val="0D272465"/>
    <w:rsid w:val="0D2D4420"/>
    <w:rsid w:val="0D496D60"/>
    <w:rsid w:val="0D7A277D"/>
    <w:rsid w:val="0D8C28CB"/>
    <w:rsid w:val="0DC90467"/>
    <w:rsid w:val="0DC94F7F"/>
    <w:rsid w:val="0E300391"/>
    <w:rsid w:val="0E345B9A"/>
    <w:rsid w:val="0E5726EA"/>
    <w:rsid w:val="0E5C1326"/>
    <w:rsid w:val="0E6823D6"/>
    <w:rsid w:val="0E77069A"/>
    <w:rsid w:val="0E7A5929"/>
    <w:rsid w:val="0E836A62"/>
    <w:rsid w:val="0EAD4126"/>
    <w:rsid w:val="0EB5347D"/>
    <w:rsid w:val="0EE96A9E"/>
    <w:rsid w:val="0EEA72F1"/>
    <w:rsid w:val="0EF51641"/>
    <w:rsid w:val="0F4B7E64"/>
    <w:rsid w:val="0F613CD7"/>
    <w:rsid w:val="0F615C46"/>
    <w:rsid w:val="10416A8D"/>
    <w:rsid w:val="106673FF"/>
    <w:rsid w:val="10810298"/>
    <w:rsid w:val="1085134F"/>
    <w:rsid w:val="108612DE"/>
    <w:rsid w:val="10AF511D"/>
    <w:rsid w:val="10C763CC"/>
    <w:rsid w:val="10CA4FC1"/>
    <w:rsid w:val="10FF3B0E"/>
    <w:rsid w:val="11041F55"/>
    <w:rsid w:val="11273B44"/>
    <w:rsid w:val="113B1DC2"/>
    <w:rsid w:val="117A52B8"/>
    <w:rsid w:val="118243E4"/>
    <w:rsid w:val="11831C22"/>
    <w:rsid w:val="11857057"/>
    <w:rsid w:val="11AD0AFB"/>
    <w:rsid w:val="11B3315F"/>
    <w:rsid w:val="1207132A"/>
    <w:rsid w:val="1275170D"/>
    <w:rsid w:val="12786172"/>
    <w:rsid w:val="12923F97"/>
    <w:rsid w:val="12AE7A6A"/>
    <w:rsid w:val="12BD188E"/>
    <w:rsid w:val="12F02A65"/>
    <w:rsid w:val="13446B33"/>
    <w:rsid w:val="13455D51"/>
    <w:rsid w:val="134B1ADF"/>
    <w:rsid w:val="135260B0"/>
    <w:rsid w:val="135E7A13"/>
    <w:rsid w:val="13690655"/>
    <w:rsid w:val="13C760AE"/>
    <w:rsid w:val="13FD0010"/>
    <w:rsid w:val="14061278"/>
    <w:rsid w:val="141161C7"/>
    <w:rsid w:val="141E6BFA"/>
    <w:rsid w:val="14266B95"/>
    <w:rsid w:val="14343A81"/>
    <w:rsid w:val="14902483"/>
    <w:rsid w:val="14AC0D57"/>
    <w:rsid w:val="14D961E8"/>
    <w:rsid w:val="14E05D2D"/>
    <w:rsid w:val="14F078AD"/>
    <w:rsid w:val="14F129B9"/>
    <w:rsid w:val="1546380B"/>
    <w:rsid w:val="158439FA"/>
    <w:rsid w:val="15B35260"/>
    <w:rsid w:val="15D1525C"/>
    <w:rsid w:val="15D5651F"/>
    <w:rsid w:val="15E666DF"/>
    <w:rsid w:val="15FE5920"/>
    <w:rsid w:val="1617703F"/>
    <w:rsid w:val="1643124C"/>
    <w:rsid w:val="16556932"/>
    <w:rsid w:val="16600BE4"/>
    <w:rsid w:val="167956FD"/>
    <w:rsid w:val="16BB7D86"/>
    <w:rsid w:val="16DA3F06"/>
    <w:rsid w:val="171F6CC4"/>
    <w:rsid w:val="17252DED"/>
    <w:rsid w:val="17721EAB"/>
    <w:rsid w:val="17786F4A"/>
    <w:rsid w:val="17A72946"/>
    <w:rsid w:val="17CD3C7B"/>
    <w:rsid w:val="17EF4B13"/>
    <w:rsid w:val="17F65C71"/>
    <w:rsid w:val="17FE4BDA"/>
    <w:rsid w:val="182222C0"/>
    <w:rsid w:val="18743665"/>
    <w:rsid w:val="18765596"/>
    <w:rsid w:val="18D448EE"/>
    <w:rsid w:val="18D767D7"/>
    <w:rsid w:val="18E95397"/>
    <w:rsid w:val="18EA3FB7"/>
    <w:rsid w:val="18EB2A35"/>
    <w:rsid w:val="18F539DB"/>
    <w:rsid w:val="19260B7A"/>
    <w:rsid w:val="193E4D23"/>
    <w:rsid w:val="1946405E"/>
    <w:rsid w:val="197654E3"/>
    <w:rsid w:val="19843C66"/>
    <w:rsid w:val="19A56F54"/>
    <w:rsid w:val="19B03C31"/>
    <w:rsid w:val="19D534F9"/>
    <w:rsid w:val="19DD678A"/>
    <w:rsid w:val="1A143BCC"/>
    <w:rsid w:val="1A165627"/>
    <w:rsid w:val="1A280FA2"/>
    <w:rsid w:val="1A2C2DB4"/>
    <w:rsid w:val="1A3943CB"/>
    <w:rsid w:val="1A6B65C5"/>
    <w:rsid w:val="1AAA05D0"/>
    <w:rsid w:val="1AF56120"/>
    <w:rsid w:val="1B262CFE"/>
    <w:rsid w:val="1B2D5563"/>
    <w:rsid w:val="1B3C078C"/>
    <w:rsid w:val="1B54682B"/>
    <w:rsid w:val="1B6734EC"/>
    <w:rsid w:val="1B9401EC"/>
    <w:rsid w:val="1B972AFF"/>
    <w:rsid w:val="1BB13699"/>
    <w:rsid w:val="1BC83FF9"/>
    <w:rsid w:val="1BF27B69"/>
    <w:rsid w:val="1BFE2033"/>
    <w:rsid w:val="1C7247AA"/>
    <w:rsid w:val="1CAA563A"/>
    <w:rsid w:val="1D0026B3"/>
    <w:rsid w:val="1D177AB5"/>
    <w:rsid w:val="1D785E16"/>
    <w:rsid w:val="1DBA1CAE"/>
    <w:rsid w:val="1DE20A51"/>
    <w:rsid w:val="1DEE4345"/>
    <w:rsid w:val="1DF30C0A"/>
    <w:rsid w:val="1E321F85"/>
    <w:rsid w:val="1E7E5F8F"/>
    <w:rsid w:val="1E9D13A0"/>
    <w:rsid w:val="1EB666F1"/>
    <w:rsid w:val="1EC45B21"/>
    <w:rsid w:val="1EC46825"/>
    <w:rsid w:val="1ED92AC2"/>
    <w:rsid w:val="1F731314"/>
    <w:rsid w:val="1F9305C3"/>
    <w:rsid w:val="1FBF3024"/>
    <w:rsid w:val="1FC541D2"/>
    <w:rsid w:val="204271CF"/>
    <w:rsid w:val="204542BE"/>
    <w:rsid w:val="20816D5A"/>
    <w:rsid w:val="209A1E95"/>
    <w:rsid w:val="20B026EF"/>
    <w:rsid w:val="20C32A59"/>
    <w:rsid w:val="20D338A8"/>
    <w:rsid w:val="21017D8D"/>
    <w:rsid w:val="21210F3E"/>
    <w:rsid w:val="21315F60"/>
    <w:rsid w:val="214D2491"/>
    <w:rsid w:val="215C4558"/>
    <w:rsid w:val="21733EC8"/>
    <w:rsid w:val="21855A37"/>
    <w:rsid w:val="21927385"/>
    <w:rsid w:val="2238039D"/>
    <w:rsid w:val="223C28DF"/>
    <w:rsid w:val="22411E2F"/>
    <w:rsid w:val="226C3F68"/>
    <w:rsid w:val="227D2A3F"/>
    <w:rsid w:val="22A77439"/>
    <w:rsid w:val="22CE1427"/>
    <w:rsid w:val="22E50094"/>
    <w:rsid w:val="23041C5A"/>
    <w:rsid w:val="23085908"/>
    <w:rsid w:val="23397694"/>
    <w:rsid w:val="237252AB"/>
    <w:rsid w:val="239C0A65"/>
    <w:rsid w:val="23AF4A43"/>
    <w:rsid w:val="23CD460F"/>
    <w:rsid w:val="246422D1"/>
    <w:rsid w:val="2470537B"/>
    <w:rsid w:val="24D3163D"/>
    <w:rsid w:val="24D67A80"/>
    <w:rsid w:val="25A83771"/>
    <w:rsid w:val="25CD15BE"/>
    <w:rsid w:val="25D217AB"/>
    <w:rsid w:val="25E335F0"/>
    <w:rsid w:val="26071BC0"/>
    <w:rsid w:val="265D111C"/>
    <w:rsid w:val="26606A77"/>
    <w:rsid w:val="266D1102"/>
    <w:rsid w:val="267A0E62"/>
    <w:rsid w:val="26C85ABE"/>
    <w:rsid w:val="27162D53"/>
    <w:rsid w:val="2765238A"/>
    <w:rsid w:val="27666970"/>
    <w:rsid w:val="27775BA6"/>
    <w:rsid w:val="28966CDA"/>
    <w:rsid w:val="289768F6"/>
    <w:rsid w:val="28B70237"/>
    <w:rsid w:val="28D03C28"/>
    <w:rsid w:val="28E34489"/>
    <w:rsid w:val="28FA4207"/>
    <w:rsid w:val="294911F8"/>
    <w:rsid w:val="296D5C67"/>
    <w:rsid w:val="29803008"/>
    <w:rsid w:val="2996125F"/>
    <w:rsid w:val="29C04BBC"/>
    <w:rsid w:val="29D9253C"/>
    <w:rsid w:val="29DE269D"/>
    <w:rsid w:val="2A7C2225"/>
    <w:rsid w:val="2AF01CFE"/>
    <w:rsid w:val="2AFA310E"/>
    <w:rsid w:val="2B8B4894"/>
    <w:rsid w:val="2B962881"/>
    <w:rsid w:val="2BA17F79"/>
    <w:rsid w:val="2C3E2DE2"/>
    <w:rsid w:val="2C5B7E51"/>
    <w:rsid w:val="2CB14DB9"/>
    <w:rsid w:val="2CD81724"/>
    <w:rsid w:val="2CF57D0C"/>
    <w:rsid w:val="2D135A8C"/>
    <w:rsid w:val="2D147D98"/>
    <w:rsid w:val="2D281ABD"/>
    <w:rsid w:val="2D2B1AF4"/>
    <w:rsid w:val="2DCB2961"/>
    <w:rsid w:val="2DCC67A0"/>
    <w:rsid w:val="2DD22086"/>
    <w:rsid w:val="2DD7328B"/>
    <w:rsid w:val="2DF60E66"/>
    <w:rsid w:val="2DFB7812"/>
    <w:rsid w:val="2E446AB2"/>
    <w:rsid w:val="2E4D2B76"/>
    <w:rsid w:val="2E5674A1"/>
    <w:rsid w:val="2E59334A"/>
    <w:rsid w:val="2E95007F"/>
    <w:rsid w:val="2EA6521E"/>
    <w:rsid w:val="2EA6783B"/>
    <w:rsid w:val="2EE13EA3"/>
    <w:rsid w:val="2F113F69"/>
    <w:rsid w:val="2F2F34B9"/>
    <w:rsid w:val="2F385BB2"/>
    <w:rsid w:val="2F42713E"/>
    <w:rsid w:val="2F565940"/>
    <w:rsid w:val="2F636D0C"/>
    <w:rsid w:val="2F700D65"/>
    <w:rsid w:val="2F832D79"/>
    <w:rsid w:val="2FAE3BFB"/>
    <w:rsid w:val="2FBE2851"/>
    <w:rsid w:val="2FD130F7"/>
    <w:rsid w:val="2FD54B44"/>
    <w:rsid w:val="30123C4F"/>
    <w:rsid w:val="30414F71"/>
    <w:rsid w:val="30487264"/>
    <w:rsid w:val="30646C79"/>
    <w:rsid w:val="3072662C"/>
    <w:rsid w:val="30C639D5"/>
    <w:rsid w:val="30E13F99"/>
    <w:rsid w:val="312A1F5D"/>
    <w:rsid w:val="312E2DF1"/>
    <w:rsid w:val="3142579E"/>
    <w:rsid w:val="31500729"/>
    <w:rsid w:val="31583D3D"/>
    <w:rsid w:val="316573A0"/>
    <w:rsid w:val="316C5B12"/>
    <w:rsid w:val="31721EBF"/>
    <w:rsid w:val="31C047E6"/>
    <w:rsid w:val="31C45F3E"/>
    <w:rsid w:val="31C479C4"/>
    <w:rsid w:val="31D5463B"/>
    <w:rsid w:val="31E53C2F"/>
    <w:rsid w:val="31F504C4"/>
    <w:rsid w:val="322E5F11"/>
    <w:rsid w:val="32325AC8"/>
    <w:rsid w:val="324F5419"/>
    <w:rsid w:val="325D242F"/>
    <w:rsid w:val="32782CCF"/>
    <w:rsid w:val="32E068AE"/>
    <w:rsid w:val="32FD120E"/>
    <w:rsid w:val="334C1550"/>
    <w:rsid w:val="334D6940"/>
    <w:rsid w:val="335D2F7F"/>
    <w:rsid w:val="33FE20EA"/>
    <w:rsid w:val="340F6EAE"/>
    <w:rsid w:val="34A14F49"/>
    <w:rsid w:val="34B87A7E"/>
    <w:rsid w:val="34C45D52"/>
    <w:rsid w:val="34D72835"/>
    <w:rsid w:val="351619AF"/>
    <w:rsid w:val="35230629"/>
    <w:rsid w:val="35314387"/>
    <w:rsid w:val="35764940"/>
    <w:rsid w:val="3578116F"/>
    <w:rsid w:val="359B3113"/>
    <w:rsid w:val="35E9553A"/>
    <w:rsid w:val="362C21DE"/>
    <w:rsid w:val="364D1BD5"/>
    <w:rsid w:val="36580DD1"/>
    <w:rsid w:val="36751866"/>
    <w:rsid w:val="36790260"/>
    <w:rsid w:val="36980DAD"/>
    <w:rsid w:val="369F633D"/>
    <w:rsid w:val="36D73EDD"/>
    <w:rsid w:val="36FB5E37"/>
    <w:rsid w:val="370E7970"/>
    <w:rsid w:val="374D1A5E"/>
    <w:rsid w:val="37617B77"/>
    <w:rsid w:val="37865EDD"/>
    <w:rsid w:val="37F166F0"/>
    <w:rsid w:val="384369A1"/>
    <w:rsid w:val="38582311"/>
    <w:rsid w:val="38972061"/>
    <w:rsid w:val="38DD16FA"/>
    <w:rsid w:val="38E20E02"/>
    <w:rsid w:val="390C0AF7"/>
    <w:rsid w:val="39602EF5"/>
    <w:rsid w:val="39B41523"/>
    <w:rsid w:val="39BF1A38"/>
    <w:rsid w:val="3A107AFB"/>
    <w:rsid w:val="3A16521A"/>
    <w:rsid w:val="3A361384"/>
    <w:rsid w:val="3A3B710D"/>
    <w:rsid w:val="3A43739A"/>
    <w:rsid w:val="3A5A52CA"/>
    <w:rsid w:val="3AC614A8"/>
    <w:rsid w:val="3B207515"/>
    <w:rsid w:val="3B521658"/>
    <w:rsid w:val="3B7B2C49"/>
    <w:rsid w:val="3B7D3F09"/>
    <w:rsid w:val="3BCB5203"/>
    <w:rsid w:val="3BD249C7"/>
    <w:rsid w:val="3BD36D15"/>
    <w:rsid w:val="3BEE268E"/>
    <w:rsid w:val="3C397D7F"/>
    <w:rsid w:val="3C4143F2"/>
    <w:rsid w:val="3CD21CDA"/>
    <w:rsid w:val="3D082B27"/>
    <w:rsid w:val="3D4A35C7"/>
    <w:rsid w:val="3D6F7DA6"/>
    <w:rsid w:val="3DC75330"/>
    <w:rsid w:val="3E043ECA"/>
    <w:rsid w:val="3E066E9C"/>
    <w:rsid w:val="3E64077E"/>
    <w:rsid w:val="3EDA02A7"/>
    <w:rsid w:val="3EF73899"/>
    <w:rsid w:val="3EFB3F11"/>
    <w:rsid w:val="3F0D2021"/>
    <w:rsid w:val="3F1D342B"/>
    <w:rsid w:val="3F1F55AA"/>
    <w:rsid w:val="3F2714B1"/>
    <w:rsid w:val="3F2D5C08"/>
    <w:rsid w:val="3F767B39"/>
    <w:rsid w:val="3F7B62BB"/>
    <w:rsid w:val="3F9918EF"/>
    <w:rsid w:val="3FA244D7"/>
    <w:rsid w:val="3FC6220D"/>
    <w:rsid w:val="3FE424E3"/>
    <w:rsid w:val="3FE55F30"/>
    <w:rsid w:val="3FE61630"/>
    <w:rsid w:val="4011005D"/>
    <w:rsid w:val="40457603"/>
    <w:rsid w:val="406037CD"/>
    <w:rsid w:val="40622096"/>
    <w:rsid w:val="40667ADC"/>
    <w:rsid w:val="409A4A8B"/>
    <w:rsid w:val="40A30CA0"/>
    <w:rsid w:val="40B60D69"/>
    <w:rsid w:val="40BF2F47"/>
    <w:rsid w:val="40DC68A9"/>
    <w:rsid w:val="40FC636A"/>
    <w:rsid w:val="41033E06"/>
    <w:rsid w:val="410E7E2A"/>
    <w:rsid w:val="412F693A"/>
    <w:rsid w:val="416E100E"/>
    <w:rsid w:val="418B4807"/>
    <w:rsid w:val="41926595"/>
    <w:rsid w:val="41A54CAD"/>
    <w:rsid w:val="42842FCE"/>
    <w:rsid w:val="428640EE"/>
    <w:rsid w:val="42BD3F0C"/>
    <w:rsid w:val="42BE15EE"/>
    <w:rsid w:val="4334271B"/>
    <w:rsid w:val="43357F83"/>
    <w:rsid w:val="43411C5A"/>
    <w:rsid w:val="439C6EE2"/>
    <w:rsid w:val="439F76C4"/>
    <w:rsid w:val="43A23DD3"/>
    <w:rsid w:val="44087998"/>
    <w:rsid w:val="44741285"/>
    <w:rsid w:val="44C11E25"/>
    <w:rsid w:val="44C56196"/>
    <w:rsid w:val="44CC1549"/>
    <w:rsid w:val="44D325D2"/>
    <w:rsid w:val="44F2228A"/>
    <w:rsid w:val="451A68FC"/>
    <w:rsid w:val="45324537"/>
    <w:rsid w:val="454A5031"/>
    <w:rsid w:val="455408DD"/>
    <w:rsid w:val="456A47BE"/>
    <w:rsid w:val="456B7C66"/>
    <w:rsid w:val="45971C9D"/>
    <w:rsid w:val="45C26708"/>
    <w:rsid w:val="46105A82"/>
    <w:rsid w:val="465B0489"/>
    <w:rsid w:val="467F004C"/>
    <w:rsid w:val="46891F03"/>
    <w:rsid w:val="46A44FE5"/>
    <w:rsid w:val="46AC320B"/>
    <w:rsid w:val="46B54980"/>
    <w:rsid w:val="46B82A2E"/>
    <w:rsid w:val="46BA2123"/>
    <w:rsid w:val="46EE2117"/>
    <w:rsid w:val="47312E17"/>
    <w:rsid w:val="474F1788"/>
    <w:rsid w:val="47C22BC4"/>
    <w:rsid w:val="47DF4CD4"/>
    <w:rsid w:val="480B20D7"/>
    <w:rsid w:val="482A7041"/>
    <w:rsid w:val="48393665"/>
    <w:rsid w:val="48DA7D60"/>
    <w:rsid w:val="48FE3654"/>
    <w:rsid w:val="492470C0"/>
    <w:rsid w:val="492C124B"/>
    <w:rsid w:val="493A4258"/>
    <w:rsid w:val="49461F85"/>
    <w:rsid w:val="49854E99"/>
    <w:rsid w:val="49A24DEF"/>
    <w:rsid w:val="4A490EC0"/>
    <w:rsid w:val="4A6C1356"/>
    <w:rsid w:val="4A913566"/>
    <w:rsid w:val="4A9270D0"/>
    <w:rsid w:val="4AA66938"/>
    <w:rsid w:val="4AC72371"/>
    <w:rsid w:val="4B076664"/>
    <w:rsid w:val="4B394BC5"/>
    <w:rsid w:val="4B412930"/>
    <w:rsid w:val="4B484605"/>
    <w:rsid w:val="4B4F3AB4"/>
    <w:rsid w:val="4B7024CE"/>
    <w:rsid w:val="4B8109EF"/>
    <w:rsid w:val="4B8E5AFA"/>
    <w:rsid w:val="4BE0215D"/>
    <w:rsid w:val="4BE77B37"/>
    <w:rsid w:val="4BFD690F"/>
    <w:rsid w:val="4C056678"/>
    <w:rsid w:val="4C057215"/>
    <w:rsid w:val="4C293674"/>
    <w:rsid w:val="4CA06E87"/>
    <w:rsid w:val="4D165FA3"/>
    <w:rsid w:val="4D1A0C09"/>
    <w:rsid w:val="4D2E637E"/>
    <w:rsid w:val="4D5F49F0"/>
    <w:rsid w:val="4D7468F4"/>
    <w:rsid w:val="4D7C7282"/>
    <w:rsid w:val="4D7E16CF"/>
    <w:rsid w:val="4DBD684E"/>
    <w:rsid w:val="4E2B5E0B"/>
    <w:rsid w:val="4E380826"/>
    <w:rsid w:val="4E7604AA"/>
    <w:rsid w:val="4E792B2E"/>
    <w:rsid w:val="4E9706D1"/>
    <w:rsid w:val="4EE13001"/>
    <w:rsid w:val="4EFB7D4E"/>
    <w:rsid w:val="4F27310F"/>
    <w:rsid w:val="4F344AA8"/>
    <w:rsid w:val="4F7C7586"/>
    <w:rsid w:val="4FED2029"/>
    <w:rsid w:val="502E42E4"/>
    <w:rsid w:val="505908C2"/>
    <w:rsid w:val="508329E1"/>
    <w:rsid w:val="509150FF"/>
    <w:rsid w:val="5096254A"/>
    <w:rsid w:val="50A87324"/>
    <w:rsid w:val="50BD269F"/>
    <w:rsid w:val="510F017C"/>
    <w:rsid w:val="51190A2B"/>
    <w:rsid w:val="51294EDD"/>
    <w:rsid w:val="51404C76"/>
    <w:rsid w:val="51AE4E49"/>
    <w:rsid w:val="51AE7243"/>
    <w:rsid w:val="51E33AA3"/>
    <w:rsid w:val="52044BD2"/>
    <w:rsid w:val="521A3C7D"/>
    <w:rsid w:val="522C3E14"/>
    <w:rsid w:val="52401945"/>
    <w:rsid w:val="52554DDA"/>
    <w:rsid w:val="526A76D7"/>
    <w:rsid w:val="52875AF0"/>
    <w:rsid w:val="529E6183"/>
    <w:rsid w:val="52B95AAC"/>
    <w:rsid w:val="52C66CD9"/>
    <w:rsid w:val="52DD43FF"/>
    <w:rsid w:val="53155F68"/>
    <w:rsid w:val="534C170A"/>
    <w:rsid w:val="539309FE"/>
    <w:rsid w:val="53E338B5"/>
    <w:rsid w:val="540E30E7"/>
    <w:rsid w:val="546405A7"/>
    <w:rsid w:val="549206AF"/>
    <w:rsid w:val="549B19C8"/>
    <w:rsid w:val="54D34AB5"/>
    <w:rsid w:val="5508007C"/>
    <w:rsid w:val="5517754E"/>
    <w:rsid w:val="552F123F"/>
    <w:rsid w:val="553172AF"/>
    <w:rsid w:val="555C45D4"/>
    <w:rsid w:val="55AC78B2"/>
    <w:rsid w:val="55B25874"/>
    <w:rsid w:val="55D16EE8"/>
    <w:rsid w:val="562E602E"/>
    <w:rsid w:val="56351AEC"/>
    <w:rsid w:val="56935AF0"/>
    <w:rsid w:val="569F0958"/>
    <w:rsid w:val="56A50E88"/>
    <w:rsid w:val="56C44E94"/>
    <w:rsid w:val="56C612D5"/>
    <w:rsid w:val="56D638AE"/>
    <w:rsid w:val="573B78BD"/>
    <w:rsid w:val="57C40EB8"/>
    <w:rsid w:val="57C4146F"/>
    <w:rsid w:val="580E2B9F"/>
    <w:rsid w:val="58274828"/>
    <w:rsid w:val="582E4F26"/>
    <w:rsid w:val="5862469C"/>
    <w:rsid w:val="589A2E73"/>
    <w:rsid w:val="58C9515C"/>
    <w:rsid w:val="58CC2D67"/>
    <w:rsid w:val="58FE47CD"/>
    <w:rsid w:val="591264D8"/>
    <w:rsid w:val="59935257"/>
    <w:rsid w:val="59D32AE1"/>
    <w:rsid w:val="59E46B15"/>
    <w:rsid w:val="5A2006D0"/>
    <w:rsid w:val="5A3438A6"/>
    <w:rsid w:val="5A3F40CD"/>
    <w:rsid w:val="5A442108"/>
    <w:rsid w:val="5A6D48E8"/>
    <w:rsid w:val="5A7C04E6"/>
    <w:rsid w:val="5A8059BE"/>
    <w:rsid w:val="5A830FAF"/>
    <w:rsid w:val="5AB45A65"/>
    <w:rsid w:val="5ACD6D8C"/>
    <w:rsid w:val="5AEA0B9D"/>
    <w:rsid w:val="5AEA0E38"/>
    <w:rsid w:val="5AF72006"/>
    <w:rsid w:val="5B000883"/>
    <w:rsid w:val="5B07048F"/>
    <w:rsid w:val="5B2F042F"/>
    <w:rsid w:val="5B5D67C4"/>
    <w:rsid w:val="5B6D6B2F"/>
    <w:rsid w:val="5B777067"/>
    <w:rsid w:val="5BAA14DC"/>
    <w:rsid w:val="5BCD1C57"/>
    <w:rsid w:val="5C4A7B5C"/>
    <w:rsid w:val="5C5567AD"/>
    <w:rsid w:val="5C78204C"/>
    <w:rsid w:val="5C91276F"/>
    <w:rsid w:val="5CC26E40"/>
    <w:rsid w:val="5CE10AF0"/>
    <w:rsid w:val="5D363EF8"/>
    <w:rsid w:val="5D70653A"/>
    <w:rsid w:val="5D8744DC"/>
    <w:rsid w:val="5D921242"/>
    <w:rsid w:val="5D9C7AA5"/>
    <w:rsid w:val="5DA85805"/>
    <w:rsid w:val="5DAA3CB4"/>
    <w:rsid w:val="5DF73062"/>
    <w:rsid w:val="5E604819"/>
    <w:rsid w:val="5E7E5CEC"/>
    <w:rsid w:val="5EE94FDB"/>
    <w:rsid w:val="5EFC6160"/>
    <w:rsid w:val="5F382705"/>
    <w:rsid w:val="5F401009"/>
    <w:rsid w:val="5F5506A9"/>
    <w:rsid w:val="5FD32BB8"/>
    <w:rsid w:val="5FD40FDE"/>
    <w:rsid w:val="5FEE3ADD"/>
    <w:rsid w:val="5FF803E7"/>
    <w:rsid w:val="605A06E3"/>
    <w:rsid w:val="60A677A1"/>
    <w:rsid w:val="60B5556A"/>
    <w:rsid w:val="60D23ED1"/>
    <w:rsid w:val="610F586A"/>
    <w:rsid w:val="611D0091"/>
    <w:rsid w:val="612D6497"/>
    <w:rsid w:val="612F12CE"/>
    <w:rsid w:val="617D3777"/>
    <w:rsid w:val="618D7124"/>
    <w:rsid w:val="619C1603"/>
    <w:rsid w:val="61FA5104"/>
    <w:rsid w:val="62001D20"/>
    <w:rsid w:val="623A2EAA"/>
    <w:rsid w:val="62421804"/>
    <w:rsid w:val="625C2CF8"/>
    <w:rsid w:val="628F2595"/>
    <w:rsid w:val="62CE6969"/>
    <w:rsid w:val="62F51D06"/>
    <w:rsid w:val="630E4135"/>
    <w:rsid w:val="636D40BF"/>
    <w:rsid w:val="636E71E3"/>
    <w:rsid w:val="636F2F73"/>
    <w:rsid w:val="63884BEA"/>
    <w:rsid w:val="638C22FD"/>
    <w:rsid w:val="639144C4"/>
    <w:rsid w:val="63B472F3"/>
    <w:rsid w:val="63E22D45"/>
    <w:rsid w:val="63E65102"/>
    <w:rsid w:val="63EA173C"/>
    <w:rsid w:val="64070C46"/>
    <w:rsid w:val="64271546"/>
    <w:rsid w:val="646F12CB"/>
    <w:rsid w:val="6485050D"/>
    <w:rsid w:val="64A615B9"/>
    <w:rsid w:val="64AB6C0B"/>
    <w:rsid w:val="651A1808"/>
    <w:rsid w:val="652E120F"/>
    <w:rsid w:val="654F7774"/>
    <w:rsid w:val="659643BF"/>
    <w:rsid w:val="65971094"/>
    <w:rsid w:val="65E11693"/>
    <w:rsid w:val="662D50DE"/>
    <w:rsid w:val="66403AA1"/>
    <w:rsid w:val="664E7C4F"/>
    <w:rsid w:val="6712307E"/>
    <w:rsid w:val="672D151D"/>
    <w:rsid w:val="67C81C7A"/>
    <w:rsid w:val="67D2263D"/>
    <w:rsid w:val="67EB2248"/>
    <w:rsid w:val="68152ED5"/>
    <w:rsid w:val="683226B4"/>
    <w:rsid w:val="68504097"/>
    <w:rsid w:val="68562538"/>
    <w:rsid w:val="68605D3B"/>
    <w:rsid w:val="68807525"/>
    <w:rsid w:val="6896460B"/>
    <w:rsid w:val="689B6CA6"/>
    <w:rsid w:val="68A634C4"/>
    <w:rsid w:val="68E77628"/>
    <w:rsid w:val="68E90A0B"/>
    <w:rsid w:val="68F004D7"/>
    <w:rsid w:val="68F80394"/>
    <w:rsid w:val="693C7ED6"/>
    <w:rsid w:val="694B7E8C"/>
    <w:rsid w:val="697542DA"/>
    <w:rsid w:val="69847011"/>
    <w:rsid w:val="69BB1144"/>
    <w:rsid w:val="6A1F3CC2"/>
    <w:rsid w:val="6A2B6A97"/>
    <w:rsid w:val="6A3723BC"/>
    <w:rsid w:val="6A523D0D"/>
    <w:rsid w:val="6A59084A"/>
    <w:rsid w:val="6A9C3BCE"/>
    <w:rsid w:val="6AC3410F"/>
    <w:rsid w:val="6B323FA5"/>
    <w:rsid w:val="6B3C4AA5"/>
    <w:rsid w:val="6B580150"/>
    <w:rsid w:val="6B8B31C4"/>
    <w:rsid w:val="6B9A57B3"/>
    <w:rsid w:val="6BAD025B"/>
    <w:rsid w:val="6BD4045A"/>
    <w:rsid w:val="6BE00739"/>
    <w:rsid w:val="6C1039B4"/>
    <w:rsid w:val="6C2A297C"/>
    <w:rsid w:val="6C4E73BF"/>
    <w:rsid w:val="6C6F042E"/>
    <w:rsid w:val="6C845DAE"/>
    <w:rsid w:val="6D131658"/>
    <w:rsid w:val="6D8235FC"/>
    <w:rsid w:val="6D842DF5"/>
    <w:rsid w:val="6DAD6DE0"/>
    <w:rsid w:val="6DB647C8"/>
    <w:rsid w:val="6DB77A4D"/>
    <w:rsid w:val="6DBC5C72"/>
    <w:rsid w:val="6DFE1CF6"/>
    <w:rsid w:val="6E0029C8"/>
    <w:rsid w:val="6E372182"/>
    <w:rsid w:val="6E43383F"/>
    <w:rsid w:val="6E850BF1"/>
    <w:rsid w:val="6EA42E1F"/>
    <w:rsid w:val="6EB505AF"/>
    <w:rsid w:val="6F052C82"/>
    <w:rsid w:val="6F0837FE"/>
    <w:rsid w:val="6F1C408B"/>
    <w:rsid w:val="6F44193B"/>
    <w:rsid w:val="6F4F6080"/>
    <w:rsid w:val="6F63502C"/>
    <w:rsid w:val="6F7C2DB5"/>
    <w:rsid w:val="6FC07081"/>
    <w:rsid w:val="6FE96DEC"/>
    <w:rsid w:val="6FF161B6"/>
    <w:rsid w:val="6FF80F87"/>
    <w:rsid w:val="7012396D"/>
    <w:rsid w:val="701254C3"/>
    <w:rsid w:val="703266BA"/>
    <w:rsid w:val="70580CA7"/>
    <w:rsid w:val="707F1A54"/>
    <w:rsid w:val="70BA074D"/>
    <w:rsid w:val="70F63432"/>
    <w:rsid w:val="70FC467F"/>
    <w:rsid w:val="712A74EA"/>
    <w:rsid w:val="713825F4"/>
    <w:rsid w:val="71871BB4"/>
    <w:rsid w:val="71880A0D"/>
    <w:rsid w:val="718F0708"/>
    <w:rsid w:val="718F2897"/>
    <w:rsid w:val="7197046F"/>
    <w:rsid w:val="72073A82"/>
    <w:rsid w:val="7219165E"/>
    <w:rsid w:val="725910DB"/>
    <w:rsid w:val="7279248A"/>
    <w:rsid w:val="72945BDA"/>
    <w:rsid w:val="72B16086"/>
    <w:rsid w:val="72BD1925"/>
    <w:rsid w:val="730C3EF3"/>
    <w:rsid w:val="733B532D"/>
    <w:rsid w:val="734107F5"/>
    <w:rsid w:val="737F1BAB"/>
    <w:rsid w:val="73A3651A"/>
    <w:rsid w:val="73A64666"/>
    <w:rsid w:val="73DF3888"/>
    <w:rsid w:val="73FA576E"/>
    <w:rsid w:val="74014454"/>
    <w:rsid w:val="740D02BE"/>
    <w:rsid w:val="746258F7"/>
    <w:rsid w:val="748073F4"/>
    <w:rsid w:val="74880C93"/>
    <w:rsid w:val="7496728D"/>
    <w:rsid w:val="74A47903"/>
    <w:rsid w:val="751B56F7"/>
    <w:rsid w:val="75227658"/>
    <w:rsid w:val="7536683C"/>
    <w:rsid w:val="75430630"/>
    <w:rsid w:val="755063C6"/>
    <w:rsid w:val="755C0EC2"/>
    <w:rsid w:val="756966F5"/>
    <w:rsid w:val="758705BD"/>
    <w:rsid w:val="75871B0D"/>
    <w:rsid w:val="75873340"/>
    <w:rsid w:val="75B82EFB"/>
    <w:rsid w:val="75D75584"/>
    <w:rsid w:val="760D75BD"/>
    <w:rsid w:val="760F2F91"/>
    <w:rsid w:val="763347B9"/>
    <w:rsid w:val="76571F4C"/>
    <w:rsid w:val="76951C87"/>
    <w:rsid w:val="769A7E4F"/>
    <w:rsid w:val="76DA7880"/>
    <w:rsid w:val="773623F6"/>
    <w:rsid w:val="77404AD7"/>
    <w:rsid w:val="774B6B9A"/>
    <w:rsid w:val="77544A0A"/>
    <w:rsid w:val="77BF3BAF"/>
    <w:rsid w:val="77C36B0B"/>
    <w:rsid w:val="77E43011"/>
    <w:rsid w:val="780D014F"/>
    <w:rsid w:val="78193C33"/>
    <w:rsid w:val="783D33D2"/>
    <w:rsid w:val="788B6D26"/>
    <w:rsid w:val="789A6178"/>
    <w:rsid w:val="78AE7E83"/>
    <w:rsid w:val="78C310AD"/>
    <w:rsid w:val="78C74A4D"/>
    <w:rsid w:val="78ED1499"/>
    <w:rsid w:val="7903697E"/>
    <w:rsid w:val="79344BF6"/>
    <w:rsid w:val="7940677A"/>
    <w:rsid w:val="7955481F"/>
    <w:rsid w:val="7959545C"/>
    <w:rsid w:val="79663F69"/>
    <w:rsid w:val="79877D88"/>
    <w:rsid w:val="79A44B8C"/>
    <w:rsid w:val="79B44B3C"/>
    <w:rsid w:val="79BC5989"/>
    <w:rsid w:val="7A1315BD"/>
    <w:rsid w:val="7A267CB4"/>
    <w:rsid w:val="7A327A42"/>
    <w:rsid w:val="7A5341F2"/>
    <w:rsid w:val="7A726C84"/>
    <w:rsid w:val="7A7C0E99"/>
    <w:rsid w:val="7A832F88"/>
    <w:rsid w:val="7ABE2BAD"/>
    <w:rsid w:val="7B1155F8"/>
    <w:rsid w:val="7B317B51"/>
    <w:rsid w:val="7B4D6396"/>
    <w:rsid w:val="7B642FDB"/>
    <w:rsid w:val="7B7D003F"/>
    <w:rsid w:val="7B934284"/>
    <w:rsid w:val="7BBF3ABD"/>
    <w:rsid w:val="7BD07C6E"/>
    <w:rsid w:val="7BE7071B"/>
    <w:rsid w:val="7C5D5AD0"/>
    <w:rsid w:val="7C5F4027"/>
    <w:rsid w:val="7C6111CE"/>
    <w:rsid w:val="7C6813B4"/>
    <w:rsid w:val="7C9F393B"/>
    <w:rsid w:val="7CB50FC2"/>
    <w:rsid w:val="7CD85526"/>
    <w:rsid w:val="7CE57A01"/>
    <w:rsid w:val="7D0E5C16"/>
    <w:rsid w:val="7D6408FE"/>
    <w:rsid w:val="7DA07CC5"/>
    <w:rsid w:val="7DB45F84"/>
    <w:rsid w:val="7E02143C"/>
    <w:rsid w:val="7E0E04C6"/>
    <w:rsid w:val="7E1978F8"/>
    <w:rsid w:val="7E2764F7"/>
    <w:rsid w:val="7E586550"/>
    <w:rsid w:val="7E59299A"/>
    <w:rsid w:val="7E6041DB"/>
    <w:rsid w:val="7E6D3016"/>
    <w:rsid w:val="7E6D6881"/>
    <w:rsid w:val="7E92263D"/>
    <w:rsid w:val="7E9735D0"/>
    <w:rsid w:val="7EC26EB8"/>
    <w:rsid w:val="7EC30539"/>
    <w:rsid w:val="7F070A30"/>
    <w:rsid w:val="7F223593"/>
    <w:rsid w:val="7F431428"/>
    <w:rsid w:val="7F594E4D"/>
    <w:rsid w:val="7F8C6271"/>
    <w:rsid w:val="7FB06B04"/>
    <w:rsid w:val="7FBB44B4"/>
    <w:rsid w:val="7FF173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adjustRightInd w:val="0"/>
      <w:snapToGrid w:val="0"/>
      <w:jc w:val="center"/>
    </w:pPr>
    <w:rPr>
      <w:rFonts w:ascii="Times New Roman" w:hAnsi="Times New Roman" w:eastAsiaTheme="minorEastAsia" w:cstheme="minorBidi"/>
      <w:kern w:val="2"/>
      <w:sz w:val="21"/>
      <w:szCs w:val="21"/>
      <w:lang w:val="en-US" w:eastAsia="zh-CN" w:bidi="ar-SA"/>
    </w:rPr>
  </w:style>
  <w:style w:type="character" w:default="1" w:styleId="11">
    <w:name w:val="Default Paragraph Font"/>
    <w:autoRedefine/>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3">
    <w:name w:val="annotation text"/>
    <w:basedOn w:val="1"/>
    <w:autoRedefine/>
    <w:unhideWhenUsed/>
    <w:qFormat/>
    <w:uiPriority w:val="0"/>
    <w:rPr>
      <w:rFonts w:ascii="Calibri" w:hAnsi="Calibri"/>
      <w:szCs w:val="20"/>
    </w:r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autoRedefine/>
    <w:qFormat/>
    <w:uiPriority w:val="39"/>
    <w:pPr>
      <w:spacing w:line="360" w:lineRule="auto"/>
      <w:jc w:val="left"/>
    </w:pPr>
    <w:rPr>
      <w:rFonts w:eastAsia="宋体" w:cs="Times New Roman"/>
      <w:snapToGrid w:val="0"/>
      <w:kern w:val="0"/>
      <w:sz w:val="28"/>
      <w:szCs w:val="28"/>
    </w:rPr>
  </w:style>
  <w:style w:type="paragraph" w:styleId="7">
    <w:name w:val="toc 2"/>
    <w:basedOn w:val="1"/>
    <w:next w:val="1"/>
    <w:autoRedefine/>
    <w:qFormat/>
    <w:uiPriority w:val="39"/>
    <w:pPr>
      <w:spacing w:line="360" w:lineRule="auto"/>
      <w:ind w:left="100" w:leftChars="100"/>
      <w:jc w:val="left"/>
    </w:pPr>
    <w:rPr>
      <w:rFonts w:eastAsia="宋体" w:cs="Times New Roman"/>
      <w:snapToGrid w:val="0"/>
      <w:kern w:val="0"/>
      <w:sz w:val="24"/>
      <w:szCs w:val="24"/>
    </w:rPr>
  </w:style>
  <w:style w:type="paragraph" w:styleId="8">
    <w:name w:val="Body Text 2"/>
    <w:basedOn w:val="1"/>
    <w:autoRedefine/>
    <w:qFormat/>
    <w:uiPriority w:val="0"/>
    <w:pPr>
      <w:spacing w:after="120" w:line="480" w:lineRule="auto"/>
    </w:pPr>
    <w:rPr>
      <w:sz w:val="20"/>
      <w:szCs w:val="20"/>
    </w:rPr>
  </w:style>
  <w:style w:type="table" w:styleId="10">
    <w:name w:val="Table Grid"/>
    <w:basedOn w:val="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标题A"/>
    <w:basedOn w:val="1"/>
    <w:autoRedefine/>
    <w:qFormat/>
    <w:uiPriority w:val="0"/>
    <w:pPr>
      <w:spacing w:line="360" w:lineRule="auto"/>
      <w:ind w:firstLine="200" w:firstLineChars="200"/>
      <w:jc w:val="both"/>
    </w:pPr>
    <w:rPr>
      <w:rFonts w:eastAsia="宋体" w:cs="Times New Roman"/>
      <w:snapToGrid w:val="0"/>
      <w:kern w:val="0"/>
      <w:sz w:val="24"/>
      <w:szCs w:val="24"/>
    </w:rPr>
  </w:style>
  <w:style w:type="paragraph" w:customStyle="1" w:styleId="13">
    <w:name w:val="ParaAttribute40"/>
    <w:autoRedefine/>
    <w:qFormat/>
    <w:uiPriority w:val="0"/>
    <w:pPr>
      <w:widowControl w:val="0"/>
      <w:wordWrap w:val="0"/>
      <w:spacing w:line="260" w:lineRule="exact"/>
      <w:ind w:left="0"/>
      <w:jc w:val="left"/>
    </w:pPr>
    <w:rPr>
      <w:rFonts w:ascii="Times New Roman" w:hAnsi="Times New Roman" w:eastAsia="宋体" w:cs="Times New Roman"/>
    </w:rPr>
  </w:style>
  <w:style w:type="character" w:customStyle="1" w:styleId="14">
    <w:name w:val="CharAttribute12"/>
    <w:autoRedefine/>
    <w:qFormat/>
    <w:uiPriority w:val="0"/>
    <w:rPr>
      <w:rFonts w:ascii="??¨¬?" w:hAnsi="??¨¬?" w:eastAsia="??¨¬?"/>
      <w:sz w:val="24"/>
    </w:rPr>
  </w:style>
  <w:style w:type="character" w:customStyle="1" w:styleId="15">
    <w:name w:val="CharAttribute21"/>
    <w:autoRedefine/>
    <w:qFormat/>
    <w:uiPriority w:val="0"/>
    <w:rPr>
      <w:rFonts w:ascii="??¨¬?" w:hAnsi="??¨¬?" w:eastAsia="??¨¬?"/>
      <w:sz w:val="12"/>
    </w:rPr>
  </w:style>
  <w:style w:type="paragraph" w:customStyle="1" w:styleId="16">
    <w:name w:val="ParaAttribute47"/>
    <w:autoRedefine/>
    <w:qFormat/>
    <w:uiPriority w:val="0"/>
    <w:pPr>
      <w:widowControl w:val="0"/>
      <w:wordWrap w:val="0"/>
      <w:spacing w:line="206" w:lineRule="exact"/>
      <w:ind w:left="0"/>
      <w:jc w:val="left"/>
    </w:pPr>
    <w:rPr>
      <w:rFonts w:ascii="Times New Roman" w:hAnsi="Times New Roman" w:eastAsia="宋体" w:cs="Times New Roman"/>
    </w:rPr>
  </w:style>
  <w:style w:type="paragraph" w:customStyle="1" w:styleId="17">
    <w:name w:val="ParaAttribute59"/>
    <w:qFormat/>
    <w:uiPriority w:val="0"/>
    <w:pPr>
      <w:widowControl w:val="0"/>
      <w:wordWrap w:val="0"/>
      <w:spacing w:line="259" w:lineRule="exact"/>
      <w:ind w:left="0"/>
      <w:jc w:val="left"/>
    </w:pPr>
    <w:rPr>
      <w:rFonts w:ascii="Times New Roman" w:hAnsi="Times New Roman" w:eastAsia="宋体" w:cs="Times New Roman"/>
    </w:rPr>
  </w:style>
  <w:style w:type="character" w:customStyle="1" w:styleId="18">
    <w:name w:val="CharAttribute0"/>
    <w:autoRedefine/>
    <w:qFormat/>
    <w:uiPriority w:val="0"/>
    <w:rPr>
      <w:rFonts w:ascii="Arial" w:hAnsi="Arial" w:eastAsia="Arial"/>
      <w:sz w:val="19"/>
    </w:rPr>
  </w:style>
  <w:style w:type="paragraph" w:customStyle="1" w:styleId="19">
    <w:name w:val="WPSOffice手动目录 1"/>
    <w:autoRedefine/>
    <w:qFormat/>
    <w:uiPriority w:val="0"/>
    <w:pPr>
      <w:ind w:leftChars="0"/>
    </w:pPr>
    <w:rPr>
      <w:rFonts w:ascii="Times New Roman" w:hAnsi="Times New Roman" w:eastAsia="宋体" w:cs="Times New Roman"/>
      <w:sz w:val="20"/>
      <w:szCs w:val="20"/>
    </w:rPr>
  </w:style>
  <w:style w:type="paragraph" w:customStyle="1" w:styleId="20">
    <w:name w:val="WPSOffice手动目录 2"/>
    <w:autoRedefine/>
    <w:qFormat/>
    <w:uiPriority w:val="0"/>
    <w:pPr>
      <w:ind w:leftChars="200"/>
    </w:pPr>
    <w:rPr>
      <w:rFonts w:ascii="Times New Roman" w:hAnsi="Times New Roman" w:eastAsia="宋体" w:cs="Times New Roman"/>
      <w:sz w:val="20"/>
      <w:szCs w:val="20"/>
    </w:rPr>
  </w:style>
  <w:style w:type="character" w:customStyle="1" w:styleId="21">
    <w:name w:val="font41"/>
    <w:autoRedefine/>
    <w:qFormat/>
    <w:uiPriority w:val="0"/>
    <w:rPr>
      <w:rFonts w:hint="eastAsia" w:ascii="宋体" w:hAnsi="宋体" w:eastAsia="宋体" w:cs="宋体"/>
      <w:color w:val="000000"/>
      <w:sz w:val="21"/>
      <w:szCs w:val="21"/>
      <w:u w:val="none"/>
    </w:rPr>
  </w:style>
  <w:style w:type="character" w:customStyle="1" w:styleId="22">
    <w:name w:val="font71"/>
    <w:qFormat/>
    <w:uiPriority w:val="0"/>
    <w:rPr>
      <w:rFonts w:hint="eastAsia" w:ascii="Times New Roman" w:hAnsi="Times New Roman" w:cs="Times New Roman"/>
      <w:color w:val="000000"/>
      <w:sz w:val="21"/>
      <w:szCs w:val="21"/>
      <w:u w:val="none"/>
    </w:rPr>
  </w:style>
  <w:style w:type="paragraph" w:customStyle="1" w:styleId="23">
    <w:name w:val="_正文格式"/>
    <w:basedOn w:val="1"/>
    <w:autoRedefine/>
    <w:qFormat/>
    <w:uiPriority w:val="0"/>
    <w:pPr>
      <w:adjustRightInd/>
      <w:snapToGrid/>
      <w:spacing w:line="560" w:lineRule="exact"/>
    </w:pPr>
    <w:rPr>
      <w:rFonts w:eastAsia="仿宋_GB2312"/>
      <w:sz w:val="28"/>
      <w:szCs w:val="24"/>
    </w:rPr>
  </w:style>
  <w:style w:type="paragraph" w:customStyle="1" w:styleId="24">
    <w:name w:val="a"/>
    <w:basedOn w:val="1"/>
    <w:autoRedefine/>
    <w:qFormat/>
    <w:uiPriority w:val="0"/>
    <w:pPr>
      <w:widowControl/>
      <w:spacing w:line="640" w:lineRule="atLeast"/>
      <w:ind w:firstLine="566"/>
      <w:jc w:val="left"/>
    </w:pPr>
    <w:rPr>
      <w:rFonts w:ascii="Times New Roman" w:hAnsi="Times New Roman"/>
      <w:color w:val="000000"/>
      <w:kern w:val="0"/>
      <w:sz w:val="28"/>
      <w:szCs w:val="28"/>
    </w:rPr>
  </w:style>
  <w:style w:type="paragraph" w:customStyle="1" w:styleId="25">
    <w:name w:val="ParaAttribute6"/>
    <w:autoRedefine/>
    <w:qFormat/>
    <w:uiPriority w:val="0"/>
    <w:pPr>
      <w:widowControl w:val="0"/>
      <w:wordWrap w:val="0"/>
      <w:spacing w:line="240" w:lineRule="exact"/>
      <w:ind w:left="0"/>
      <w:jc w:val="left"/>
    </w:pPr>
    <w:rPr>
      <w:rFonts w:ascii="Times New Roman" w:hAnsi="Times New Roman" w:eastAsia="宋体" w:cs="Times New Roman"/>
    </w:rPr>
  </w:style>
  <w:style w:type="paragraph" w:customStyle="1" w:styleId="26">
    <w:name w:val="ParaAttribute33"/>
    <w:autoRedefine/>
    <w:qFormat/>
    <w:uiPriority w:val="0"/>
    <w:pPr>
      <w:widowControl w:val="0"/>
      <w:wordWrap w:val="0"/>
      <w:spacing w:line="274" w:lineRule="exact"/>
      <w:ind w:left="0"/>
      <w:jc w:val="left"/>
    </w:pPr>
    <w:rPr>
      <w:rFonts w:ascii="Times New Roman" w:hAnsi="Times New Roman" w:eastAsia="宋体" w:cs="Times New Roman"/>
    </w:rPr>
  </w:style>
  <w:style w:type="character" w:customStyle="1" w:styleId="27">
    <w:name w:val="CharAttribute14"/>
    <w:autoRedefine/>
    <w:qFormat/>
    <w:uiPriority w:val="0"/>
    <w:rPr>
      <w:rFonts w:ascii="Times New Roman" w:hAnsi="Times New Roman" w:eastAsia="Times New Roman"/>
      <w:sz w:val="24"/>
    </w:rPr>
  </w:style>
  <w:style w:type="character" w:customStyle="1" w:styleId="28">
    <w:name w:val="CharAttribute19"/>
    <w:autoRedefine/>
    <w:qFormat/>
    <w:uiPriority w:val="0"/>
    <w:rPr>
      <w:rFonts w:ascii="Times New Roman" w:hAnsi="Times New Roman" w:eastAsia="Times New Roman"/>
      <w:sz w:val="15"/>
    </w:rPr>
  </w:style>
  <w:style w:type="paragraph" w:customStyle="1" w:styleId="29">
    <w:name w:val="ParaAttribute132"/>
    <w:qFormat/>
    <w:uiPriority w:val="0"/>
    <w:pPr>
      <w:widowControl w:val="0"/>
      <w:wordWrap w:val="0"/>
      <w:spacing w:line="211" w:lineRule="exact"/>
      <w:ind w:left="0"/>
      <w:jc w:val="left"/>
    </w:pPr>
    <w:rPr>
      <w:rFonts w:ascii="Times New Roman" w:hAnsi="Times New Roman" w:eastAsia="宋体" w:cs="Times New Roman"/>
    </w:rPr>
  </w:style>
  <w:style w:type="paragraph" w:customStyle="1" w:styleId="30">
    <w:name w:val="ParaAttribute38"/>
    <w:qFormat/>
    <w:uiPriority w:val="0"/>
    <w:pPr>
      <w:widowControl w:val="0"/>
      <w:wordWrap w:val="0"/>
      <w:spacing w:line="226" w:lineRule="exact"/>
      <w:ind w:left="0"/>
      <w:jc w:val="left"/>
    </w:pPr>
    <w:rPr>
      <w:rFonts w:ascii="Times New Roman" w:hAnsi="Times New Roman" w:eastAsia="宋体" w:cs="Times New Roman"/>
    </w:rPr>
  </w:style>
  <w:style w:type="paragraph" w:customStyle="1" w:styleId="31">
    <w:name w:val="ParaAttribute43"/>
    <w:autoRedefine/>
    <w:qFormat/>
    <w:uiPriority w:val="0"/>
    <w:pPr>
      <w:widowControl w:val="0"/>
      <w:wordWrap w:val="0"/>
      <w:spacing w:line="225" w:lineRule="exact"/>
      <w:ind w:left="0"/>
      <w:jc w:val="left"/>
    </w:pPr>
    <w:rPr>
      <w:rFonts w:ascii="Times New Roman" w:hAnsi="Times New Roman" w:eastAsia="宋体" w:cs="Times New Roman"/>
    </w:rPr>
  </w:style>
  <w:style w:type="paragraph" w:customStyle="1" w:styleId="32">
    <w:name w:val="ParaAttribute36"/>
    <w:autoRedefine/>
    <w:qFormat/>
    <w:uiPriority w:val="0"/>
    <w:pPr>
      <w:widowControl w:val="0"/>
      <w:wordWrap w:val="0"/>
      <w:spacing w:line="250" w:lineRule="exact"/>
      <w:ind w:left="0"/>
      <w:jc w:val="left"/>
    </w:pPr>
    <w:rPr>
      <w:rFonts w:ascii="Times New Roman" w:hAnsi="Times New Roman" w:eastAsia="宋体" w:cs="Times New Roman"/>
    </w:rPr>
  </w:style>
  <w:style w:type="paragraph" w:customStyle="1" w:styleId="33">
    <w:name w:val="ParaAttribute37"/>
    <w:autoRedefine/>
    <w:qFormat/>
    <w:uiPriority w:val="0"/>
    <w:pPr>
      <w:widowControl w:val="0"/>
      <w:wordWrap w:val="0"/>
      <w:spacing w:line="249" w:lineRule="exact"/>
      <w:ind w:left="0"/>
      <w:jc w:val="left"/>
    </w:pPr>
    <w:rPr>
      <w:rFonts w:ascii="Times New Roman" w:hAnsi="Times New Roman" w:eastAsia="宋体" w:cs="Times New Roman"/>
    </w:rPr>
  </w:style>
  <w:style w:type="paragraph" w:customStyle="1" w:styleId="34">
    <w:name w:val="ParaAttribute26"/>
    <w:autoRedefine/>
    <w:qFormat/>
    <w:uiPriority w:val="0"/>
    <w:pPr>
      <w:widowControl w:val="0"/>
      <w:wordWrap w:val="0"/>
      <w:spacing w:line="259" w:lineRule="exact"/>
      <w:ind w:left="0"/>
      <w:jc w:val="left"/>
    </w:pPr>
    <w:rPr>
      <w:rFonts w:ascii="Times New Roman" w:hAnsi="Times New Roman" w:eastAsia="宋体" w:cs="Times New Roman"/>
    </w:rPr>
  </w:style>
  <w:style w:type="character" w:customStyle="1" w:styleId="35">
    <w:name w:val="CharAttribute20"/>
    <w:autoRedefine/>
    <w:qFormat/>
    <w:uiPriority w:val="0"/>
    <w:rPr>
      <w:rFonts w:ascii="宋体" w:hAnsi="宋体" w:eastAsia="宋体"/>
      <w:sz w:val="12"/>
    </w:rPr>
  </w:style>
  <w:style w:type="paragraph" w:customStyle="1" w:styleId="36">
    <w:name w:val="ParaAttribute42"/>
    <w:autoRedefine/>
    <w:qFormat/>
    <w:uiPriority w:val="0"/>
    <w:pPr>
      <w:widowControl w:val="0"/>
      <w:wordWrap w:val="0"/>
      <w:spacing w:line="231" w:lineRule="exact"/>
      <w:ind w:left="0"/>
      <w:jc w:val="left"/>
    </w:pPr>
    <w:rPr>
      <w:rFonts w:ascii="Times New Roman" w:hAnsi="Times New Roman" w:eastAsia="宋体" w:cs="Times New Roman"/>
    </w:rPr>
  </w:style>
  <w:style w:type="paragraph" w:customStyle="1" w:styleId="37">
    <w:name w:val="ParaAttribute39"/>
    <w:autoRedefine/>
    <w:qFormat/>
    <w:uiPriority w:val="0"/>
    <w:pPr>
      <w:widowControl w:val="0"/>
      <w:wordWrap w:val="0"/>
      <w:spacing w:line="230" w:lineRule="exact"/>
      <w:ind w:left="0"/>
      <w:jc w:val="left"/>
    </w:pPr>
    <w:rPr>
      <w:rFonts w:ascii="Times New Roman" w:hAnsi="Times New Roman" w:eastAsia="宋体" w:cs="Times New Roman"/>
    </w:rPr>
  </w:style>
  <w:style w:type="paragraph" w:customStyle="1" w:styleId="38">
    <w:name w:val="ParaAttribute150"/>
    <w:autoRedefine/>
    <w:qFormat/>
    <w:uiPriority w:val="0"/>
    <w:pPr>
      <w:widowControl w:val="0"/>
      <w:wordWrap w:val="0"/>
      <w:spacing w:line="260" w:lineRule="exact"/>
      <w:ind w:left="0"/>
      <w:jc w:val="left"/>
    </w:pPr>
    <w:rPr>
      <w:rFonts w:ascii="Times New Roman" w:hAnsi="Times New Roman" w:eastAsia="宋体" w:cs="Times New Roman"/>
    </w:rPr>
  </w:style>
  <w:style w:type="paragraph" w:customStyle="1" w:styleId="39">
    <w:name w:val="ParaAttribute103"/>
    <w:autoRedefine/>
    <w:qFormat/>
    <w:uiPriority w:val="0"/>
    <w:pPr>
      <w:widowControl w:val="0"/>
      <w:wordWrap w:val="0"/>
      <w:spacing w:line="254" w:lineRule="exact"/>
      <w:ind w:left="0"/>
      <w:jc w:val="left"/>
    </w:pPr>
    <w:rPr>
      <w:rFonts w:ascii="Times New Roman" w:hAnsi="Times New Roman" w:eastAsia="宋体" w:cs="Times New Roman"/>
    </w:rPr>
  </w:style>
  <w:style w:type="paragraph" w:customStyle="1" w:styleId="40">
    <w:name w:val="ParaAttribute5"/>
    <w:autoRedefine/>
    <w:qFormat/>
    <w:uiPriority w:val="0"/>
    <w:pPr>
      <w:widowControl w:val="0"/>
      <w:wordWrap w:val="0"/>
      <w:spacing w:line="236" w:lineRule="exact"/>
      <w:ind w:left="0"/>
      <w:jc w:val="left"/>
    </w:pPr>
    <w:rPr>
      <w:rFonts w:ascii="Times New Roman" w:hAnsi="Times New Roman" w:eastAsia="宋体" w:cs="Times New Roman"/>
    </w:rPr>
  </w:style>
  <w:style w:type="character" w:customStyle="1" w:styleId="41">
    <w:name w:val="CharAttribute18"/>
    <w:autoRedefine/>
    <w:qFormat/>
    <w:uiPriority w:val="0"/>
    <w:rPr>
      <w:rFonts w:ascii="宋体" w:hAnsi="宋体" w:eastAsia="宋体"/>
      <w:b/>
      <w:sz w:val="24"/>
    </w:rPr>
  </w:style>
  <w:style w:type="paragraph" w:customStyle="1" w:styleId="42">
    <w:name w:val="ParaAttribute23"/>
    <w:autoRedefine/>
    <w:qFormat/>
    <w:uiPriority w:val="0"/>
    <w:pPr>
      <w:widowControl w:val="0"/>
      <w:wordWrap w:val="0"/>
      <w:spacing w:line="264" w:lineRule="exact"/>
      <w:ind w:left="0"/>
      <w:jc w:val="left"/>
    </w:pPr>
    <w:rPr>
      <w:rFonts w:ascii="Times New Roman" w:hAnsi="Times New Roman" w:eastAsia="宋体" w:cs="Times New Roman"/>
    </w:rPr>
  </w:style>
  <w:style w:type="paragraph" w:customStyle="1" w:styleId="43">
    <w:name w:val="ParaAttribute133"/>
    <w:qFormat/>
    <w:uiPriority w:val="0"/>
    <w:pPr>
      <w:widowControl w:val="0"/>
      <w:wordWrap w:val="0"/>
      <w:spacing w:line="197" w:lineRule="exact"/>
      <w:ind w:left="0"/>
      <w:jc w:val="left"/>
    </w:pPr>
    <w:rPr>
      <w:rFonts w:ascii="Times New Roman" w:hAnsi="Times New Roman" w:eastAsia="宋体" w:cs="Times New Roman"/>
    </w:rPr>
  </w:style>
  <w:style w:type="paragraph" w:customStyle="1" w:styleId="44">
    <w:name w:val="ParaAttribute24"/>
    <w:autoRedefine/>
    <w:qFormat/>
    <w:uiPriority w:val="0"/>
    <w:pPr>
      <w:widowControl w:val="0"/>
      <w:wordWrap w:val="0"/>
      <w:spacing w:line="269" w:lineRule="exact"/>
      <w:ind w:left="0"/>
      <w:jc w:val="left"/>
    </w:pPr>
    <w:rPr>
      <w:rFonts w:ascii="Times New Roman" w:hAnsi="Times New Roman" w:eastAsia="宋体" w:cs="Times New Roman"/>
    </w:rPr>
  </w:style>
  <w:style w:type="paragraph" w:customStyle="1" w:styleId="45">
    <w:name w:val="ParaAttribute45"/>
    <w:qFormat/>
    <w:uiPriority w:val="0"/>
    <w:pPr>
      <w:widowControl w:val="0"/>
      <w:wordWrap w:val="0"/>
      <w:spacing w:line="202" w:lineRule="exact"/>
      <w:ind w:left="0"/>
      <w:jc w:val="left"/>
    </w:pPr>
    <w:rPr>
      <w:rFonts w:ascii="Times New Roman" w:hAnsi="Times New Roman" w:eastAsia="宋体" w:cs="Times New Roman"/>
    </w:rPr>
  </w:style>
  <w:style w:type="paragraph" w:customStyle="1" w:styleId="46">
    <w:name w:val="ParaAttribute41"/>
    <w:autoRedefine/>
    <w:qFormat/>
    <w:uiPriority w:val="0"/>
    <w:pPr>
      <w:widowControl w:val="0"/>
      <w:wordWrap w:val="0"/>
      <w:spacing w:line="268" w:lineRule="exact"/>
      <w:ind w:left="0"/>
      <w:jc w:val="left"/>
    </w:pPr>
    <w:rPr>
      <w:rFonts w:ascii="Times New Roman" w:hAnsi="Times New Roman" w:eastAsia="宋体" w:cs="Times New Roman"/>
    </w:rPr>
  </w:style>
  <w:style w:type="paragraph" w:customStyle="1" w:styleId="47">
    <w:name w:val="ParaAttribute136"/>
    <w:autoRedefine/>
    <w:qFormat/>
    <w:uiPriority w:val="0"/>
    <w:pPr>
      <w:widowControl w:val="0"/>
      <w:wordWrap w:val="0"/>
      <w:spacing w:line="207" w:lineRule="exact"/>
      <w:ind w:left="0"/>
      <w:jc w:val="left"/>
    </w:pPr>
    <w:rPr>
      <w:rFonts w:ascii="Times New Roman" w:hAnsi="Times New Roman" w:eastAsia="宋体" w:cs="Times New Roman"/>
    </w:rPr>
  </w:style>
  <w:style w:type="paragraph" w:customStyle="1" w:styleId="48">
    <w:name w:val="ParaAttribute78"/>
    <w:autoRedefine/>
    <w:qFormat/>
    <w:uiPriority w:val="0"/>
    <w:pPr>
      <w:widowControl w:val="0"/>
      <w:wordWrap w:val="0"/>
      <w:spacing w:line="307" w:lineRule="exact"/>
      <w:ind w:left="0"/>
      <w:jc w:val="left"/>
    </w:pPr>
    <w:rPr>
      <w:rFonts w:ascii="Times New Roman" w:hAnsi="Times New Roman" w:eastAsia="宋体" w:cs="Times New Roman"/>
    </w:rPr>
  </w:style>
  <w:style w:type="paragraph" w:customStyle="1" w:styleId="49">
    <w:name w:val="ParaAttribute28"/>
    <w:qFormat/>
    <w:uiPriority w:val="0"/>
    <w:pPr>
      <w:widowControl w:val="0"/>
      <w:wordWrap w:val="0"/>
      <w:spacing w:line="235" w:lineRule="exact"/>
      <w:ind w:left="0"/>
      <w:jc w:val="left"/>
    </w:pPr>
    <w:rPr>
      <w:rFonts w:ascii="Times New Roman" w:hAnsi="Times New Roman" w:eastAsia="宋体" w:cs="Times New Roman"/>
    </w:rPr>
  </w:style>
  <w:style w:type="paragraph" w:customStyle="1" w:styleId="50">
    <w:name w:val="ParaAttribute58"/>
    <w:autoRedefine/>
    <w:qFormat/>
    <w:uiPriority w:val="0"/>
    <w:pPr>
      <w:widowControl w:val="0"/>
      <w:wordWrap w:val="0"/>
      <w:spacing w:line="216" w:lineRule="exact"/>
      <w:ind w:left="0"/>
      <w:jc w:val="left"/>
    </w:pPr>
    <w:rPr>
      <w:rFonts w:ascii="Times New Roman" w:hAnsi="Times New Roman" w:eastAsia="宋体" w:cs="Times New Roman"/>
    </w:rPr>
  </w:style>
  <w:style w:type="paragraph" w:customStyle="1" w:styleId="51">
    <w:name w:val="ParaAttribute157"/>
    <w:qFormat/>
    <w:uiPriority w:val="0"/>
    <w:pPr>
      <w:widowControl w:val="0"/>
      <w:wordWrap w:val="0"/>
      <w:spacing w:line="129" w:lineRule="exact"/>
      <w:ind w:left="0"/>
      <w:jc w:val="left"/>
    </w:pPr>
    <w:rPr>
      <w:rFonts w:ascii="Times New Roman" w:hAnsi="Times New Roman" w:eastAsia="宋体" w:cs="Times New Roman"/>
    </w:rPr>
  </w:style>
  <w:style w:type="paragraph" w:customStyle="1" w:styleId="52">
    <w:name w:val="ParaAttribute9"/>
    <w:autoRedefine/>
    <w:qFormat/>
    <w:uiPriority w:val="0"/>
    <w:pPr>
      <w:widowControl w:val="0"/>
      <w:wordWrap w:val="0"/>
      <w:spacing w:line="192" w:lineRule="exact"/>
      <w:ind w:left="0"/>
      <w:jc w:val="left"/>
    </w:pPr>
    <w:rPr>
      <w:rFonts w:ascii="Times New Roman" w:hAnsi="Times New Roman" w:eastAsia="宋体" w:cs="Times New Roman"/>
    </w:rPr>
  </w:style>
  <w:style w:type="paragraph" w:customStyle="1" w:styleId="53">
    <w:name w:val="ParaAttribute18"/>
    <w:autoRedefine/>
    <w:qFormat/>
    <w:uiPriority w:val="0"/>
    <w:pPr>
      <w:widowControl w:val="0"/>
      <w:wordWrap w:val="0"/>
      <w:spacing w:line="283" w:lineRule="exact"/>
      <w:ind w:left="0"/>
      <w:jc w:val="left"/>
    </w:pPr>
    <w:rPr>
      <w:rFonts w:ascii="Times New Roman" w:hAnsi="Times New Roman" w:eastAsia="宋体" w:cs="Times New Roman"/>
    </w:rPr>
  </w:style>
  <w:style w:type="paragraph" w:customStyle="1" w:styleId="54">
    <w:name w:val="ParaAttribute34"/>
    <w:qFormat/>
    <w:uiPriority w:val="0"/>
    <w:pPr>
      <w:widowControl w:val="0"/>
      <w:wordWrap w:val="0"/>
      <w:spacing w:line="273" w:lineRule="exact"/>
      <w:ind w:left="0"/>
      <w:jc w:val="left"/>
    </w:pPr>
    <w:rPr>
      <w:rFonts w:ascii="Times New Roman" w:hAnsi="Times New Roman" w:eastAsia="宋体" w:cs="Times New Roman"/>
    </w:rPr>
  </w:style>
  <w:style w:type="paragraph" w:customStyle="1" w:styleId="55">
    <w:name w:val="ParaAttribute14"/>
    <w:qFormat/>
    <w:uiPriority w:val="0"/>
    <w:pPr>
      <w:widowControl w:val="0"/>
      <w:wordWrap w:val="0"/>
      <w:spacing w:line="221" w:lineRule="exact"/>
      <w:ind w:left="0"/>
      <w:jc w:val="left"/>
    </w:pPr>
    <w:rPr>
      <w:rFonts w:ascii="Times New Roman" w:hAnsi="Times New Roman" w:eastAsia="宋体" w:cs="Times New Roman"/>
    </w:rPr>
  </w:style>
  <w:style w:type="paragraph" w:customStyle="1" w:styleId="56">
    <w:name w:val="ParaAttribute31"/>
    <w:autoRedefine/>
    <w:qFormat/>
    <w:uiPriority w:val="0"/>
    <w:pPr>
      <w:widowControl w:val="0"/>
      <w:wordWrap w:val="0"/>
      <w:spacing w:line="302" w:lineRule="exact"/>
      <w:ind w:left="0"/>
      <w:jc w:val="left"/>
    </w:pPr>
    <w:rPr>
      <w:rFonts w:ascii="Times New Roman" w:hAnsi="Times New Roman" w:eastAsia="宋体" w:cs="Times New Roman"/>
    </w:rPr>
  </w:style>
  <w:style w:type="paragraph" w:customStyle="1" w:styleId="57">
    <w:name w:val="ParaAttribute163"/>
    <w:qFormat/>
    <w:uiPriority w:val="0"/>
    <w:pPr>
      <w:widowControl w:val="0"/>
      <w:wordWrap w:val="0"/>
      <w:spacing w:line="255" w:lineRule="exact"/>
      <w:ind w:left="0"/>
      <w:jc w:val="left"/>
    </w:pPr>
    <w:rPr>
      <w:rFonts w:ascii="Times New Roman" w:hAnsi="Times New Roman" w:eastAsia="宋体" w:cs="Times New Roman"/>
    </w:rPr>
  </w:style>
  <w:style w:type="paragraph" w:customStyle="1" w:styleId="58">
    <w:name w:val="ParaAttribute50"/>
    <w:autoRedefine/>
    <w:qFormat/>
    <w:uiPriority w:val="0"/>
    <w:pPr>
      <w:widowControl w:val="0"/>
      <w:wordWrap w:val="0"/>
      <w:spacing w:line="244" w:lineRule="exact"/>
      <w:ind w:left="0"/>
      <w:jc w:val="left"/>
    </w:pPr>
    <w:rPr>
      <w:rFonts w:ascii="Times New Roman" w:hAnsi="Times New Roman" w:eastAsia="宋体" w:cs="Times New Roman"/>
    </w:rPr>
  </w:style>
  <w:style w:type="paragraph" w:customStyle="1" w:styleId="59">
    <w:name w:val="ParaAttribute137"/>
    <w:qFormat/>
    <w:uiPriority w:val="0"/>
    <w:pPr>
      <w:widowControl w:val="0"/>
      <w:wordWrap w:val="0"/>
      <w:spacing w:line="196" w:lineRule="exact"/>
      <w:ind w:left="0"/>
      <w:jc w:val="left"/>
    </w:pPr>
    <w:rPr>
      <w:rFonts w:ascii="Times New Roman" w:hAnsi="Times New Roman" w:eastAsia="宋体" w:cs="Times New Roman"/>
    </w:rPr>
  </w:style>
  <w:style w:type="paragraph" w:customStyle="1" w:styleId="60">
    <w:name w:val="ParaAttribute135"/>
    <w:autoRedefine/>
    <w:qFormat/>
    <w:uiPriority w:val="0"/>
    <w:pPr>
      <w:widowControl w:val="0"/>
      <w:wordWrap w:val="0"/>
      <w:spacing w:line="212" w:lineRule="exact"/>
      <w:ind w:left="0"/>
      <w:jc w:val="left"/>
    </w:pPr>
    <w:rPr>
      <w:rFonts w:ascii="Times New Roman" w:hAnsi="Times New Roman" w:eastAsia="宋体" w:cs="Times New Roman"/>
    </w:rPr>
  </w:style>
  <w:style w:type="paragraph" w:customStyle="1" w:styleId="61">
    <w:name w:val="ParaAttribute167"/>
    <w:autoRedefine/>
    <w:qFormat/>
    <w:uiPriority w:val="0"/>
    <w:pPr>
      <w:widowControl w:val="0"/>
      <w:wordWrap w:val="0"/>
      <w:spacing w:line="298" w:lineRule="exact"/>
      <w:ind w:left="0"/>
      <w:jc w:val="left"/>
    </w:pPr>
    <w:rPr>
      <w:rFonts w:ascii="Times New Roman" w:hAnsi="Times New Roman" w:eastAsia="宋体" w:cs="Times New Roman"/>
    </w:rPr>
  </w:style>
  <w:style w:type="character" w:customStyle="1" w:styleId="62">
    <w:name w:val="CharAttribute22"/>
    <w:qFormat/>
    <w:uiPriority w:val="0"/>
    <w:rPr>
      <w:rFonts w:ascii="宋体" w:hAnsi="宋体" w:eastAsia="宋体"/>
      <w:color w:val="0070C0"/>
      <w:sz w:val="24"/>
    </w:rPr>
  </w:style>
  <w:style w:type="character" w:customStyle="1" w:styleId="63">
    <w:name w:val="font21"/>
    <w:basedOn w:val="11"/>
    <w:qFormat/>
    <w:uiPriority w:val="0"/>
    <w:rPr>
      <w:rFonts w:hint="eastAsia" w:ascii="宋体" w:hAnsi="宋体" w:eastAsia="宋体" w:cs="宋体"/>
      <w:color w:val="000000"/>
      <w:sz w:val="20"/>
      <w:szCs w:val="20"/>
      <w:u w:val="none"/>
    </w:rPr>
  </w:style>
  <w:style w:type="character" w:customStyle="1" w:styleId="64">
    <w:name w:val="CharAttribute13"/>
    <w:autoRedefine/>
    <w:qFormat/>
    <w:uiPriority w:val="0"/>
    <w:rPr>
      <w:rFonts w:ascii="Times New Roman" w:hAnsi="Times New Roman" w:eastAsia="Times New Roman"/>
      <w:b/>
      <w:sz w:val="24"/>
    </w:rPr>
  </w:style>
  <w:style w:type="character" w:customStyle="1" w:styleId="65">
    <w:name w:val="font31"/>
    <w:basedOn w:val="11"/>
    <w:qFormat/>
    <w:uiPriority w:val="0"/>
    <w:rPr>
      <w:rFonts w:hint="eastAsia" w:ascii="宋体" w:hAnsi="宋体" w:eastAsia="宋体" w:cs="宋体"/>
      <w:color w:val="000000"/>
      <w:sz w:val="21"/>
      <w:szCs w:val="21"/>
      <w:u w:val="none"/>
    </w:rPr>
  </w:style>
  <w:style w:type="paragraph" w:customStyle="1" w:styleId="66">
    <w:name w:val="ParaAttribute44"/>
    <w:qFormat/>
    <w:uiPriority w:val="0"/>
    <w:pPr>
      <w:widowControl w:val="0"/>
      <w:wordWrap w:val="0"/>
      <w:spacing w:line="220" w:lineRule="exact"/>
      <w:ind w:left="0"/>
      <w:jc w:val="left"/>
    </w:pPr>
    <w:rPr>
      <w:rFonts w:ascii="Times New Roman" w:hAnsi="Times New Roman" w:eastAsia="宋体" w:cs="Times New Roman"/>
    </w:rPr>
  </w:style>
  <w:style w:type="paragraph" w:customStyle="1" w:styleId="67">
    <w:name w:val="ParaAttribute83"/>
    <w:qFormat/>
    <w:uiPriority w:val="0"/>
    <w:pPr>
      <w:widowControl w:val="0"/>
      <w:wordWrap w:val="0"/>
      <w:spacing w:line="427" w:lineRule="exact"/>
      <w:ind w:left="0"/>
      <w:jc w:val="left"/>
    </w:pPr>
    <w:rPr>
      <w:rFonts w:ascii="Times New Roman" w:hAnsi="Times New Roman" w:eastAsia="宋体" w:cs="Times New Roman"/>
    </w:rPr>
  </w:style>
  <w:style w:type="character" w:customStyle="1" w:styleId="68">
    <w:name w:val="CharAttribute23"/>
    <w:qFormat/>
    <w:uiPriority w:val="0"/>
    <w:rPr>
      <w:rFonts w:ascii="Times New Roman" w:hAnsi="Times New Roman" w:eastAsia="Times New Roman"/>
      <w:b/>
      <w:color w:val="0070C0"/>
      <w:sz w:val="24"/>
    </w:rPr>
  </w:style>
  <w:style w:type="paragraph" w:customStyle="1" w:styleId="69">
    <w:name w:val="ParaAttribute93"/>
    <w:qFormat/>
    <w:uiPriority w:val="0"/>
    <w:pPr>
      <w:widowControl w:val="0"/>
      <w:wordWrap w:val="0"/>
      <w:spacing w:line="3974" w:lineRule="exact"/>
      <w:ind w:left="0"/>
      <w:jc w:val="left"/>
    </w:pPr>
    <w:rPr>
      <w:rFonts w:ascii="Times New Roman" w:hAnsi="Times New Roman" w:eastAsia="宋体" w:cs="Times New Roman"/>
    </w:rPr>
  </w:style>
  <w:style w:type="character" w:customStyle="1" w:styleId="70">
    <w:name w:val="font11"/>
    <w:basedOn w:val="11"/>
    <w:autoRedefine/>
    <w:qFormat/>
    <w:uiPriority w:val="0"/>
    <w:rPr>
      <w:rFonts w:hint="default" w:ascii="Times New Roman" w:hAnsi="Times New Roman" w:cs="Times New Roman"/>
      <w:color w:val="000000"/>
      <w:sz w:val="20"/>
      <w:szCs w:val="20"/>
      <w:u w:val="none"/>
    </w:rPr>
  </w:style>
  <w:style w:type="paragraph" w:customStyle="1" w:styleId="71">
    <w:name w:val="！正文ａｌｔ＋5"/>
    <w:basedOn w:val="1"/>
    <w:qFormat/>
    <w:uiPriority w:val="0"/>
    <w:pPr>
      <w:widowControl w:val="0"/>
      <w:adjustRightInd w:val="0"/>
      <w:spacing w:after="0" w:line="560" w:lineRule="exact"/>
      <w:ind w:firstLine="560" w:firstLineChars="200"/>
    </w:pPr>
    <w:rPr>
      <w:rFonts w:ascii="仿宋_GB2312" w:eastAsia="仿宋_GB2312"/>
      <w:kern w:val="2"/>
      <w:sz w:val="28"/>
      <w:szCs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7.pn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10661</Words>
  <Characters>13712</Characters>
  <Lines>0</Lines>
  <Paragraphs>0</Paragraphs>
  <TotalTime>5</TotalTime>
  <ScaleCrop>false</ScaleCrop>
  <LinksUpToDate>false</LinksUpToDate>
  <CharactersWithSpaces>14129</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2020-03-30T08:59:00Z</dcterms:created>
  <dc:creator>Administrator</dc:creator>
  <cp:lastModifiedBy>bayasua</cp:lastModifiedBy>
  <dcterms:modified xsi:type="dcterms:W3CDTF">2024-03-26T02:00:47Z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15B81E17E6A14B86B92349063FD9022D</vt:lpwstr>
  </property>
</Properties>
</file>