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D1DB37">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第二轮自治区生态环境保护督察</w:t>
      </w:r>
    </w:p>
    <w:p w14:paraId="639B988E">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第37项整改任务完成情况表</w:t>
      </w:r>
    </w:p>
    <w:tbl>
      <w:tblPr>
        <w:tblStyle w:val="5"/>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0"/>
        <w:gridCol w:w="6394"/>
      </w:tblGrid>
      <w:tr w14:paraId="7AE3F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7" w:hRule="atLeast"/>
        </w:trPr>
        <w:tc>
          <w:tcPr>
            <w:tcW w:w="2750" w:type="dxa"/>
            <w:noWrap w:val="0"/>
            <w:vAlign w:val="center"/>
          </w:tcPr>
          <w:p w14:paraId="4BBDFCC6">
            <w:pPr>
              <w:spacing w:line="560" w:lineRule="exact"/>
              <w:jc w:val="center"/>
              <w:rPr>
                <w:rFonts w:hint="eastAsia" w:ascii="FangSong_GB2312" w:hAnsi="仿宋_GB2312" w:eastAsia="FangSong_GB2312" w:cs="仿宋_GB2312"/>
                <w:sz w:val="24"/>
                <w:szCs w:val="24"/>
              </w:rPr>
            </w:pPr>
            <w:r>
              <w:rPr>
                <w:rFonts w:hint="eastAsia" w:ascii="FangSong_GB2312" w:hAnsi="仿宋_GB2312" w:eastAsia="FangSong_GB2312" w:cs="仿宋_GB2312"/>
                <w:sz w:val="24"/>
                <w:szCs w:val="24"/>
              </w:rPr>
              <w:t>整改任务</w:t>
            </w:r>
          </w:p>
        </w:tc>
        <w:tc>
          <w:tcPr>
            <w:tcW w:w="6394" w:type="dxa"/>
            <w:noWrap w:val="0"/>
            <w:vAlign w:val="center"/>
          </w:tcPr>
          <w:p w14:paraId="19CCD96C">
            <w:pPr>
              <w:adjustRightInd w:val="0"/>
              <w:snapToGrid w:val="0"/>
              <w:spacing w:line="460" w:lineRule="exact"/>
              <w:rPr>
                <w:rFonts w:hint="eastAsia" w:ascii="FangSong_GB2312" w:hAnsi="仿宋_GB2312" w:eastAsia="FangSong_GB2312" w:cs="仿宋_GB2312"/>
                <w:color w:val="00B050"/>
                <w:szCs w:val="20"/>
              </w:rPr>
            </w:pPr>
            <w:r>
              <w:rPr>
                <w:rFonts w:hint="eastAsia" w:ascii="FangSong_GB2312" w:hAnsi="仿宋_GB2312" w:eastAsia="FangSong_GB2312" w:cs="仿宋_GB2312"/>
                <w:sz w:val="24"/>
                <w:szCs w:val="24"/>
              </w:rPr>
              <w:t>第二轮自治区生态环境保护督察第37项整改任务：督察组抽查了9家检测机构，均不同程度存在违法违规问题。宁城县宁达机动车检测公司等5家机构在检测双排气管车辆时，违反操作技术规范要求，仅用一个尾气采样管采样，涉及车辆622辆。红山区北山机动车检测技术公司、恒力汽车检测维修公司等4家机构未严格落实查验要求，2024年对明显冒黑烟的8辆柴油货车出具合格报告。元宝山区安驰机动车检测公司自2024年以来在车辆排气口违规放置移动冷却风机，严重影响黑烟车判断。赤峰恒力汽车检测维修公司、赤峰市安驾机动车检测公司擅自更改机动车铭牌显示的额定功率，赤峰路威机动车检测技术公司等4家机构违规遮挡不透光烟度计的烟道。宁城县拓坤机动车检测公司、城远机动车检测公司将油温测试探头插入暖水瓶中，均违反了规定操作程序，人为干扰检测数据，出具不实检测报告。</w:t>
            </w:r>
          </w:p>
        </w:tc>
      </w:tr>
      <w:tr w14:paraId="5849C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3" w:hRule="atLeast"/>
        </w:trPr>
        <w:tc>
          <w:tcPr>
            <w:tcW w:w="2750" w:type="dxa"/>
            <w:noWrap w:val="0"/>
            <w:vAlign w:val="center"/>
          </w:tcPr>
          <w:p w14:paraId="043644DC">
            <w:pPr>
              <w:spacing w:line="560" w:lineRule="exact"/>
              <w:jc w:val="center"/>
              <w:rPr>
                <w:rFonts w:hint="eastAsia" w:ascii="FangSong_GB2312" w:hAnsi="仿宋_GB2312" w:eastAsia="FangSong_GB2312" w:cs="仿宋_GB2312"/>
                <w:sz w:val="24"/>
                <w:szCs w:val="24"/>
              </w:rPr>
            </w:pPr>
            <w:r>
              <w:rPr>
                <w:rFonts w:hint="eastAsia" w:ascii="FangSong_GB2312" w:hAnsi="仿宋_GB2312" w:eastAsia="FangSong_GB2312" w:cs="仿宋_GB2312"/>
                <w:sz w:val="24"/>
                <w:szCs w:val="24"/>
              </w:rPr>
              <w:t>责任单位</w:t>
            </w:r>
          </w:p>
        </w:tc>
        <w:tc>
          <w:tcPr>
            <w:tcW w:w="6394" w:type="dxa"/>
            <w:noWrap w:val="0"/>
            <w:vAlign w:val="center"/>
          </w:tcPr>
          <w:p w14:paraId="7725CF73">
            <w:pPr>
              <w:pStyle w:val="4"/>
              <w:widowControl/>
              <w:adjustRightInd w:val="0"/>
              <w:snapToGrid w:val="0"/>
              <w:spacing w:before="0" w:beforeAutospacing="0" w:after="0" w:afterAutospacing="0" w:line="460" w:lineRule="exact"/>
              <w:jc w:val="both"/>
              <w:rPr>
                <w:rFonts w:hint="eastAsia" w:ascii="FangSong_GB2312" w:hAnsi="仿宋_GB2312" w:eastAsia="FangSong_GB2312" w:cs="仿宋_GB2312"/>
                <w:kern w:val="2"/>
                <w:szCs w:val="24"/>
              </w:rPr>
            </w:pPr>
            <w:r>
              <w:rPr>
                <w:rFonts w:hint="eastAsia" w:ascii="FangSong_GB2312" w:hAnsi="仿宋_GB2312" w:eastAsia="FangSong_GB2312" w:cs="仿宋_GB2312"/>
                <w:kern w:val="2"/>
                <w:szCs w:val="24"/>
              </w:rPr>
              <w:t>市生态环境局、市市场监管局，宁城县、红山区、元宝山区党委和政府</w:t>
            </w:r>
          </w:p>
        </w:tc>
      </w:tr>
      <w:tr w14:paraId="14DA8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9" w:hRule="atLeast"/>
        </w:trPr>
        <w:tc>
          <w:tcPr>
            <w:tcW w:w="2750" w:type="dxa"/>
            <w:noWrap w:val="0"/>
            <w:vAlign w:val="center"/>
          </w:tcPr>
          <w:p w14:paraId="3E868917">
            <w:pPr>
              <w:spacing w:line="560" w:lineRule="exact"/>
              <w:jc w:val="center"/>
              <w:rPr>
                <w:rFonts w:hint="eastAsia" w:ascii="FangSong_GB2312" w:hAnsi="仿宋_GB2312" w:eastAsia="FangSong_GB2312" w:cs="仿宋_GB2312"/>
                <w:sz w:val="24"/>
                <w:szCs w:val="24"/>
              </w:rPr>
            </w:pPr>
            <w:r>
              <w:rPr>
                <w:rFonts w:hint="eastAsia" w:ascii="FangSong_GB2312" w:hAnsi="仿宋_GB2312" w:eastAsia="FangSong_GB2312" w:cs="仿宋_GB2312"/>
                <w:sz w:val="24"/>
                <w:szCs w:val="24"/>
              </w:rPr>
              <w:t>整改目标</w:t>
            </w:r>
          </w:p>
        </w:tc>
        <w:tc>
          <w:tcPr>
            <w:tcW w:w="6394" w:type="dxa"/>
            <w:noWrap w:val="0"/>
            <w:vAlign w:val="center"/>
          </w:tcPr>
          <w:p w14:paraId="5C8DF4B0">
            <w:pPr>
              <w:pStyle w:val="4"/>
              <w:widowControl/>
              <w:spacing w:before="0" w:beforeAutospacing="0" w:after="0" w:afterAutospacing="0" w:line="460" w:lineRule="exact"/>
              <w:jc w:val="both"/>
              <w:rPr>
                <w:rFonts w:hint="eastAsia" w:ascii="FangSong_GB2312" w:hAnsi="仿宋_GB2312" w:eastAsia="FangSong_GB2312" w:cs="仿宋_GB2312"/>
                <w:kern w:val="2"/>
                <w:szCs w:val="24"/>
              </w:rPr>
            </w:pPr>
            <w:r>
              <w:rPr>
                <w:rFonts w:hint="eastAsia" w:ascii="FangSong_GB2312" w:hAnsi="仿宋_GB2312" w:eastAsia="FangSong_GB2312" w:cs="仿宋_GB2312"/>
                <w:kern w:val="2"/>
                <w:szCs w:val="24"/>
              </w:rPr>
              <w:t>依法对9家违法违规检测机构进行调查核实处理，规范经营秩序。</w:t>
            </w:r>
          </w:p>
        </w:tc>
      </w:tr>
      <w:tr w14:paraId="1A8C4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7" w:hRule="atLeast"/>
        </w:trPr>
        <w:tc>
          <w:tcPr>
            <w:tcW w:w="2750" w:type="dxa"/>
            <w:noWrap w:val="0"/>
            <w:vAlign w:val="center"/>
          </w:tcPr>
          <w:p w14:paraId="2B207020">
            <w:pPr>
              <w:spacing w:line="560" w:lineRule="exact"/>
              <w:jc w:val="center"/>
              <w:rPr>
                <w:rFonts w:hint="eastAsia" w:ascii="FangSong_GB2312" w:hAnsi="仿宋_GB2312" w:eastAsia="FangSong_GB2312" w:cs="仿宋_GB2312"/>
                <w:sz w:val="24"/>
                <w:szCs w:val="24"/>
              </w:rPr>
            </w:pPr>
            <w:r>
              <w:rPr>
                <w:rFonts w:hint="eastAsia" w:ascii="FangSong_GB2312" w:hAnsi="仿宋_GB2312" w:eastAsia="FangSong_GB2312" w:cs="仿宋_GB2312"/>
                <w:sz w:val="24"/>
                <w:szCs w:val="24"/>
              </w:rPr>
              <w:t>整改措施</w:t>
            </w:r>
          </w:p>
        </w:tc>
        <w:tc>
          <w:tcPr>
            <w:tcW w:w="6394" w:type="dxa"/>
            <w:noWrap w:val="0"/>
            <w:vAlign w:val="center"/>
          </w:tcPr>
          <w:p w14:paraId="39C599E8">
            <w:pPr>
              <w:adjustRightInd w:val="0"/>
              <w:snapToGrid w:val="0"/>
              <w:spacing w:line="460" w:lineRule="exact"/>
              <w:rPr>
                <w:rFonts w:hint="eastAsia" w:ascii="FangSong_GB2312" w:hAnsi="仿宋_GB2312" w:eastAsia="FangSong_GB2312" w:cs="仿宋_GB2312"/>
                <w:sz w:val="24"/>
                <w:szCs w:val="24"/>
              </w:rPr>
            </w:pPr>
            <w:r>
              <w:rPr>
                <w:rFonts w:hint="eastAsia" w:ascii="FangSong_GB2312" w:hAnsi="仿宋_GB2312" w:eastAsia="FangSong_GB2312" w:cs="仿宋_GB2312"/>
                <w:sz w:val="24"/>
                <w:szCs w:val="24"/>
              </w:rPr>
              <w:t>（1）市生态环境局、市市场监管局组织对9家存在违法违规问题的机动车检测机构进行调查核实处理，督促违法违规检测机构完成整改。</w:t>
            </w:r>
          </w:p>
          <w:p w14:paraId="30AC583D">
            <w:pPr>
              <w:adjustRightInd w:val="0"/>
              <w:snapToGrid w:val="0"/>
              <w:spacing w:line="460" w:lineRule="exact"/>
              <w:rPr>
                <w:rFonts w:hint="eastAsia" w:ascii="FangSong_GB2312" w:hAnsi="仿宋_GB2312" w:eastAsia="FangSong_GB2312" w:cs="仿宋_GB2312"/>
                <w:sz w:val="24"/>
                <w:szCs w:val="24"/>
              </w:rPr>
            </w:pPr>
            <w:r>
              <w:rPr>
                <w:rFonts w:hint="eastAsia" w:ascii="FangSong_GB2312" w:hAnsi="仿宋_GB2312" w:eastAsia="FangSong_GB2312" w:cs="仿宋_GB2312"/>
                <w:sz w:val="24"/>
                <w:szCs w:val="24"/>
              </w:rPr>
              <w:t>（2）按照《内蒙古自治区六部门关于机动车排放检验领域第三方机构专项整治方案》（内环办〔2024〕213号）要求，开展机动车排放检验领域第三方机构专项整治，规范机动车排放检验领域第三方机构经营秩序，推动机动车检验领域健康有序发展。</w:t>
            </w:r>
          </w:p>
        </w:tc>
      </w:tr>
      <w:tr w14:paraId="1E6C8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2" w:hRule="atLeast"/>
        </w:trPr>
        <w:tc>
          <w:tcPr>
            <w:tcW w:w="2750" w:type="dxa"/>
            <w:noWrap w:val="0"/>
            <w:vAlign w:val="center"/>
          </w:tcPr>
          <w:p w14:paraId="4300F617">
            <w:pPr>
              <w:spacing w:line="560" w:lineRule="exact"/>
              <w:jc w:val="center"/>
              <w:rPr>
                <w:rFonts w:hint="eastAsia" w:ascii="FangSong_GB2312" w:hAnsi="仿宋_GB2312" w:eastAsia="FangSong_GB2312" w:cs="仿宋_GB2312"/>
                <w:sz w:val="24"/>
                <w:szCs w:val="24"/>
              </w:rPr>
            </w:pPr>
            <w:r>
              <w:rPr>
                <w:rFonts w:hint="eastAsia" w:ascii="FangSong_GB2312" w:hAnsi="仿宋_GB2312" w:eastAsia="FangSong_GB2312" w:cs="仿宋_GB2312"/>
                <w:sz w:val="24"/>
                <w:szCs w:val="24"/>
              </w:rPr>
              <w:t>完成情况</w:t>
            </w:r>
          </w:p>
        </w:tc>
        <w:tc>
          <w:tcPr>
            <w:tcW w:w="6394" w:type="dxa"/>
            <w:noWrap w:val="0"/>
            <w:vAlign w:val="center"/>
          </w:tcPr>
          <w:p w14:paraId="138F1EDA">
            <w:pPr>
              <w:pStyle w:val="4"/>
              <w:widowControl/>
              <w:spacing w:before="0" w:beforeAutospacing="0" w:after="0" w:afterAutospacing="0" w:line="460" w:lineRule="exact"/>
              <w:ind w:firstLine="480" w:firstLineChars="200"/>
              <w:jc w:val="both"/>
              <w:rPr>
                <w:rFonts w:hint="eastAsia" w:ascii="FangSong_GB2312" w:hAnsi="仿宋_GB2312" w:eastAsia="FangSong_GB2312" w:cs="仿宋_GB2312"/>
                <w:kern w:val="2"/>
                <w:szCs w:val="24"/>
              </w:rPr>
            </w:pPr>
            <w:r>
              <w:rPr>
                <w:rFonts w:hint="eastAsia" w:ascii="FangSong_GB2312" w:hAnsi="仿宋_GB2312" w:eastAsia="FangSong_GB2312" w:cs="仿宋_GB2312"/>
                <w:kern w:val="2"/>
                <w:szCs w:val="24"/>
              </w:rPr>
              <w:t>1.违法违规问题查处情况</w:t>
            </w:r>
          </w:p>
          <w:p w14:paraId="20B0FA09">
            <w:pPr>
              <w:pStyle w:val="4"/>
              <w:widowControl/>
              <w:spacing w:before="0" w:beforeAutospacing="0" w:after="0" w:afterAutospacing="0" w:line="460" w:lineRule="exact"/>
              <w:ind w:firstLine="480" w:firstLineChars="200"/>
              <w:jc w:val="both"/>
              <w:rPr>
                <w:rFonts w:hint="eastAsia" w:ascii="FangSong_GB2312" w:hAnsi="仿宋_GB2312" w:eastAsia="FangSong_GB2312" w:cs="仿宋_GB2312"/>
                <w:kern w:val="2"/>
                <w:szCs w:val="24"/>
              </w:rPr>
            </w:pPr>
            <w:r>
              <w:rPr>
                <w:rFonts w:hint="eastAsia" w:ascii="FangSong_GB2312" w:hAnsi="仿宋_GB2312" w:eastAsia="FangSong_GB2312" w:cs="仿宋_GB2312"/>
                <w:kern w:val="2"/>
                <w:szCs w:val="24"/>
              </w:rPr>
              <w:t>市生态环境局红山区、宁城县、元宝山区分局对督察组反馈的9家机动车检验机构进行了现场调查，并督促企业完成整改。</w:t>
            </w:r>
          </w:p>
          <w:p w14:paraId="1CD4DE49">
            <w:pPr>
              <w:pStyle w:val="4"/>
              <w:widowControl/>
              <w:spacing w:before="0" w:beforeAutospacing="0" w:after="0" w:afterAutospacing="0" w:line="460" w:lineRule="exact"/>
              <w:ind w:firstLine="480" w:firstLineChars="200"/>
              <w:jc w:val="both"/>
              <w:rPr>
                <w:rFonts w:hint="eastAsia" w:ascii="FangSong_GB2312" w:hAnsi="仿宋_GB2312" w:eastAsia="FangSong_GB2312" w:cs="仿宋_GB2312"/>
                <w:kern w:val="2"/>
                <w:szCs w:val="24"/>
              </w:rPr>
            </w:pPr>
            <w:r>
              <w:rPr>
                <w:rFonts w:hint="eastAsia" w:ascii="FangSong_GB2312" w:hAnsi="仿宋_GB2312" w:eastAsia="FangSong_GB2312" w:cs="仿宋_GB2312"/>
                <w:kern w:val="2"/>
                <w:szCs w:val="24"/>
              </w:rPr>
              <w:t>对宁城县宁达、宁城县顺航、宁城诚远、宁达、元宝山区安驰检验机构在检测双排气管车辆时，仅用一个尾气采样管采样的违规行为，宁城县及元宝山区分局已责令检验机构立行立改，要求严格按照相关规范标准对双排气管车辆进行检测，企业已完成整改。</w:t>
            </w:r>
          </w:p>
          <w:p w14:paraId="76FB0D6E">
            <w:pPr>
              <w:pStyle w:val="4"/>
              <w:widowControl/>
              <w:spacing w:before="0" w:beforeAutospacing="0" w:after="0" w:afterAutospacing="0" w:line="460" w:lineRule="exact"/>
              <w:ind w:firstLine="480" w:firstLineChars="200"/>
              <w:jc w:val="both"/>
              <w:rPr>
                <w:rFonts w:hint="eastAsia" w:ascii="FangSong_GB2312" w:hAnsi="仿宋_GB2312" w:eastAsia="FangSong_GB2312" w:cs="仿宋_GB2312"/>
                <w:kern w:val="2"/>
                <w:szCs w:val="24"/>
              </w:rPr>
            </w:pPr>
            <w:r>
              <w:rPr>
                <w:rFonts w:hint="eastAsia" w:ascii="FangSong_GB2312" w:hAnsi="仿宋_GB2312" w:eastAsia="FangSong_GB2312" w:cs="仿宋_GB2312"/>
                <w:kern w:val="2"/>
                <w:szCs w:val="24"/>
              </w:rPr>
              <w:t>对北山、赤峰市安驾、宁城县顺航共3家检验机构对明显冒黑烟柴油货车出具合格报告的环境违法行为实施了行政处罚。合计处罚金额33万元，没收违法所得0.09万元。恒力检验机构因不符合立案条件不予立案。</w:t>
            </w:r>
          </w:p>
          <w:p w14:paraId="75886D0E">
            <w:pPr>
              <w:pStyle w:val="4"/>
              <w:widowControl/>
              <w:spacing w:before="0" w:beforeAutospacing="0" w:after="0" w:afterAutospacing="0" w:line="460" w:lineRule="exact"/>
              <w:ind w:firstLine="480" w:firstLineChars="200"/>
              <w:jc w:val="both"/>
              <w:rPr>
                <w:rFonts w:hint="eastAsia" w:ascii="FangSong_GB2312" w:hAnsi="仿宋_GB2312" w:eastAsia="FangSong_GB2312" w:cs="仿宋_GB2312"/>
                <w:kern w:val="2"/>
                <w:szCs w:val="24"/>
              </w:rPr>
            </w:pPr>
            <w:r>
              <w:rPr>
                <w:rFonts w:hint="eastAsia" w:ascii="FangSong_GB2312" w:hAnsi="仿宋_GB2312" w:eastAsia="FangSong_GB2312" w:cs="仿宋_GB2312"/>
                <w:kern w:val="2"/>
                <w:szCs w:val="24"/>
              </w:rPr>
              <w:t>对元宝山区安驰检测公司违规放置移动冷却风机的行为，严重影响黑烟车判断问题，元宝山区生态环境分局已要求该公司移除车辆排气口违规放置的移动冷却风机，严格按照技术规范要求开展机动车尾气检测工作，该企业已移除了移动冷却风机，完成整改。</w:t>
            </w:r>
          </w:p>
          <w:p w14:paraId="6CA04CAD">
            <w:pPr>
              <w:pStyle w:val="4"/>
              <w:widowControl/>
              <w:spacing w:before="0" w:beforeAutospacing="0" w:after="0" w:afterAutospacing="0" w:line="460" w:lineRule="exact"/>
              <w:ind w:firstLine="480" w:firstLineChars="200"/>
              <w:jc w:val="both"/>
              <w:rPr>
                <w:rFonts w:hint="eastAsia" w:ascii="FangSong_GB2312" w:hAnsi="仿宋_GB2312" w:eastAsia="FangSong_GB2312" w:cs="仿宋_GB2312"/>
                <w:kern w:val="2"/>
                <w:szCs w:val="24"/>
              </w:rPr>
            </w:pPr>
            <w:r>
              <w:rPr>
                <w:rFonts w:hint="eastAsia" w:ascii="FangSong_GB2312" w:hAnsi="仿宋_GB2312" w:eastAsia="FangSong_GB2312" w:cs="仿宋_GB2312"/>
                <w:kern w:val="2"/>
                <w:szCs w:val="24"/>
              </w:rPr>
              <w:t>对赤峰恒力、赤峰市安驾检验机构擅自更改机动车铭牌显示的额定功率，赤峰路威、北山、恒力、赤峰市安驾4家检验机构违规遮挡不透光烟度计的烟道问题，相关分局已责令检验机构立行立改，严格按照铭牌录入机动车信息，在检测过程中不对烟度计进行人为干扰，该问题已完成整改。</w:t>
            </w:r>
          </w:p>
          <w:p w14:paraId="32D9CBD3">
            <w:pPr>
              <w:pStyle w:val="4"/>
              <w:widowControl/>
              <w:spacing w:before="0" w:beforeAutospacing="0" w:after="0" w:afterAutospacing="0" w:line="460" w:lineRule="exact"/>
              <w:ind w:firstLine="480" w:firstLineChars="200"/>
              <w:jc w:val="both"/>
              <w:rPr>
                <w:rFonts w:hint="eastAsia" w:ascii="FangSong_GB2312" w:hAnsi="仿宋_GB2312" w:eastAsia="FangSong_GB2312" w:cs="仿宋_GB2312"/>
                <w:kern w:val="2"/>
                <w:szCs w:val="24"/>
              </w:rPr>
            </w:pPr>
            <w:r>
              <w:rPr>
                <w:rFonts w:hint="eastAsia" w:ascii="FangSong_GB2312" w:hAnsi="仿宋_GB2312" w:eastAsia="FangSong_GB2312" w:cs="仿宋_GB2312"/>
                <w:kern w:val="2"/>
                <w:szCs w:val="24"/>
              </w:rPr>
              <w:t>对宁城县拓坤、宁城城远检验机构将油温测试探头插入暖水瓶中，人为干扰检测数据问题生态环境局宁城县分局责令2家检验机构立行立改，按规范要求对油温进行实测，该问题已完成整改。</w:t>
            </w:r>
          </w:p>
          <w:p w14:paraId="0F116407">
            <w:pPr>
              <w:pStyle w:val="4"/>
              <w:widowControl/>
              <w:spacing w:before="0" w:beforeAutospacing="0" w:after="0" w:afterAutospacing="0" w:line="460" w:lineRule="exact"/>
              <w:ind w:firstLine="480" w:firstLineChars="200"/>
              <w:jc w:val="both"/>
              <w:rPr>
                <w:rFonts w:hint="eastAsia" w:ascii="FangSong_GB2312" w:hAnsi="仿宋_GB2312" w:eastAsia="FangSong_GB2312" w:cs="仿宋_GB2312"/>
                <w:kern w:val="2"/>
                <w:szCs w:val="24"/>
              </w:rPr>
            </w:pPr>
            <w:r>
              <w:rPr>
                <w:rFonts w:hint="eastAsia" w:ascii="FangSong_GB2312" w:hAnsi="仿宋_GB2312" w:eastAsia="FangSong_GB2312" w:cs="仿宋_GB2312"/>
                <w:kern w:val="2"/>
                <w:szCs w:val="24"/>
              </w:rPr>
              <w:t>2.专项整治行动开展情况</w:t>
            </w:r>
          </w:p>
          <w:p w14:paraId="5496A918">
            <w:pPr>
              <w:spacing w:line="460" w:lineRule="exact"/>
              <w:ind w:firstLine="480" w:firstLineChars="200"/>
              <w:rPr>
                <w:rFonts w:hint="eastAsia" w:ascii="FangSong_GB2312" w:eastAsia="FangSong_GB2312"/>
                <w:sz w:val="24"/>
              </w:rPr>
            </w:pPr>
            <w:r>
              <w:rPr>
                <w:rFonts w:hint="eastAsia" w:ascii="FangSong_GB2312" w:hAnsi="仿宋_GB2312" w:eastAsia="FangSong_GB2312" w:cs="仿宋_GB2312"/>
                <w:sz w:val="24"/>
                <w:szCs w:val="24"/>
              </w:rPr>
              <w:t>按照《内蒙古自治区六部门关于机动车排放检验领域第三方机构专项整治方案》（内环办〔2024〕213号）要求，生态环境部门、市场监督管理局、交通运输局、检察院联合开展专项整治，出动执法人员700余人次，检查第三方机构85余家次，规范机动车排放检验领域第三方机构经营秩序，推动机动车检验领域健康有序发展。</w:t>
            </w:r>
          </w:p>
        </w:tc>
      </w:tr>
    </w:tbl>
    <w:p w14:paraId="1C5D501D">
      <w:pPr>
        <w:spacing w:line="560" w:lineRule="exact"/>
      </w:pPr>
    </w:p>
    <w:p w14:paraId="6341364B"/>
    <w:p w14:paraId="556EE66D">
      <w:bookmarkStart w:id="0" w:name="_GoBack"/>
      <w:bookmarkEnd w:id="0"/>
    </w:p>
    <w:sectPr>
      <w:footerReference r:id="rId3" w:type="default"/>
      <w:pgSz w:w="11906" w:h="16838"/>
      <w:pgMar w:top="2098" w:right="1474" w:bottom="1984" w:left="158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FangSong_GB2312">
    <w:altName w:val="仿宋_GB2312"/>
    <w:panose1 w:val="02010609060101010101"/>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95428">
    <w:pPr>
      <w:pStyle w:val="3"/>
      <w:jc w:val="center"/>
      <w:rPr>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4AFD31E">
                          <w:pPr>
                            <w:pStyle w:val="3"/>
                            <w:jc w:val="center"/>
                            <w:rPr>
                              <w:sz w:val="24"/>
                              <w:szCs w:val="24"/>
                            </w:rPr>
                          </w:pP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ascii="仿宋_GB2312" w:hAnsi="仿宋_GB2312" w:eastAsia="仿宋_GB2312" w:cs="仿宋_GB2312"/>
                              <w:sz w:val="24"/>
                              <w:szCs w:val="24"/>
                              <w:lang w:val="zh-CN"/>
                            </w:rPr>
                            <w:t>1</w:t>
                          </w:r>
                          <w:r>
                            <w:rPr>
                              <w:rFonts w:hint="eastAsia" w:ascii="仿宋_GB2312" w:hAnsi="仿宋_GB2312" w:eastAsia="仿宋_GB2312" w:cs="仿宋_GB2312"/>
                              <w:sz w:val="24"/>
                              <w:szCs w:val="24"/>
                            </w:rPr>
                            <w:fldChar w:fldCharType="end"/>
                          </w:r>
                        </w:p>
                        <w:p w14:paraId="50691349">
                          <w:pPr>
                            <w:pStyle w:val="2"/>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iC+ss0BAACnAwAADgAAAGRycy9lMm9Eb2MueG1srVNLbtswEN0X6B0I&#10;7mspD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9iC+ss0BAACnAwAADgAAAAAAAAABACAAAAAeAQAAZHJzL2Uy&#10;b0RvYy54bWxQSwUGAAAAAAYABgBZAQAAXQUAAAAA&#10;">
              <v:path/>
              <v:fill on="f" focussize="0,0"/>
              <v:stroke on="f"/>
              <v:imagedata o:title=""/>
              <o:lock v:ext="edit" aspectratio="f"/>
              <v:textbox inset="0mm,0mm,0mm,0mm" style="mso-fit-shape-to-text:t;">
                <w:txbxContent>
                  <w:p w14:paraId="44AFD31E">
                    <w:pPr>
                      <w:pStyle w:val="3"/>
                      <w:jc w:val="center"/>
                      <w:rPr>
                        <w:sz w:val="24"/>
                        <w:szCs w:val="24"/>
                      </w:rPr>
                    </w:pP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ascii="仿宋_GB2312" w:hAnsi="仿宋_GB2312" w:eastAsia="仿宋_GB2312" w:cs="仿宋_GB2312"/>
                        <w:sz w:val="24"/>
                        <w:szCs w:val="24"/>
                        <w:lang w:val="zh-CN"/>
                      </w:rPr>
                      <w:t>1</w:t>
                    </w:r>
                    <w:r>
                      <w:rPr>
                        <w:rFonts w:hint="eastAsia" w:ascii="仿宋_GB2312" w:hAnsi="仿宋_GB2312" w:eastAsia="仿宋_GB2312" w:cs="仿宋_GB2312"/>
                        <w:sz w:val="24"/>
                        <w:szCs w:val="24"/>
                      </w:rPr>
                      <w:fldChar w:fldCharType="end"/>
                    </w:r>
                  </w:p>
                  <w:p w14:paraId="50691349">
                    <w:pPr>
                      <w:pStyle w:val="2"/>
                    </w:pPr>
                  </w:p>
                </w:txbxContent>
              </v:textbox>
            </v:shape>
          </w:pict>
        </mc:Fallback>
      </mc:AlternateContent>
    </w:r>
  </w:p>
  <w:p w14:paraId="682A55B1">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3E10D1"/>
    <w:rsid w:val="0F3E10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afterLines="0" w:afterAutospacing="0"/>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2025-06-16T02:11:00Z</dcterms:created>
  <dc:creator>卷 卷</dc:creator>
  <cp:lastModifiedBy>卷 卷</cp:lastModifiedBy>
  <dcterms:modified xsi:type="dcterms:W3CDTF">2025-06-16T02:14:39Z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E919FBA4EBCB43919B4D4566693B3B3C_11</vt:lpwstr>
  </property>
  <property fmtid="{D5CDD505-2E9C-101B-9397-08002B2CF9AE}" pid="4" name="KSOTemplateDocerSaveRecord">
    <vt:lpwstr>eyJoZGlkIjoiMTAzNGRhMjQ4YzY3NzdjZjhhOTU5MWM2YTVmMjY0YzIiLCJ1c2VySWQiOiIxMjkzMjM2NDc5In0=</vt:lpwstr>
  </property>
</Properties>
</file>