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6A953">
      <w:pPr>
        <w:spacing w:before="101" w:line="417" w:lineRule="exact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position w:val="1"/>
          <w:sz w:val="32"/>
          <w:szCs w:val="32"/>
        </w:rPr>
        <w:t>附件</w:t>
      </w:r>
    </w:p>
    <w:p w14:paraId="04403424"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lang w:val="en-US" w:eastAsia="zh-CN"/>
        </w:rPr>
        <w:t>二</w:t>
      </w:r>
      <w:r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  <w:t>轮自治区生态环境保护督察</w:t>
      </w:r>
    </w:p>
    <w:p w14:paraId="4D7ABDBC"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  <w:highlight w:val="none"/>
          <w:lang w:val="en-US" w:eastAsia="zh-CN"/>
        </w:rPr>
        <w:t>8</w:t>
      </w: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  <w:highlight w:val="none"/>
        </w:rPr>
        <w:t>项</w:t>
      </w: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整改任务完成情况表</w:t>
      </w:r>
    </w:p>
    <w:p w14:paraId="4C77E377">
      <w:pPr>
        <w:keepNext w:val="0"/>
        <w:keepLines w:val="0"/>
        <w:pageBreakBefore w:val="0"/>
        <w:widowControl/>
        <w:tabs>
          <w:tab w:val="left" w:pos="90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9" w:line="240" w:lineRule="auto"/>
        <w:ind w:right="114" w:rightChars="0"/>
        <w:jc w:val="center"/>
        <w:textAlignment w:val="baseline"/>
        <w:rPr>
          <w:rFonts w:ascii="方正小标宋简体" w:hAnsi="方正小标宋简体" w:eastAsia="方正小标宋简体" w:cs="方正小标宋简体"/>
          <w:spacing w:val="7"/>
          <w:sz w:val="32"/>
          <w:szCs w:val="32"/>
        </w:rPr>
      </w:pPr>
    </w:p>
    <w:tbl>
      <w:tblPr>
        <w:tblStyle w:val="4"/>
        <w:tblW w:w="914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53"/>
        <w:gridCol w:w="6395"/>
      </w:tblGrid>
      <w:tr w14:paraId="7D2E0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0" w:hRule="atLeast"/>
        </w:trPr>
        <w:tc>
          <w:tcPr>
            <w:tcW w:w="2753" w:type="dxa"/>
            <w:vAlign w:val="center"/>
          </w:tcPr>
          <w:p w14:paraId="1CB3EE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整改任务</w:t>
            </w:r>
          </w:p>
        </w:tc>
        <w:tc>
          <w:tcPr>
            <w:tcW w:w="6395" w:type="dxa"/>
            <w:vAlign w:val="center"/>
          </w:tcPr>
          <w:p w14:paraId="46199F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right="109" w:firstLine="48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FangSong_GB2312" w:hAnsi="FangSong_GB2312" w:eastAsia="FangSong_GB2312" w:cs="FangSong_GB2312"/>
                <w:sz w:val="24"/>
                <w:szCs w:val="24"/>
              </w:rPr>
              <w:t>《赤峰市地下水保护条例》规定，在再生水或者地表水输配管网覆盖范围内，除食品、制药等对水质有特殊要求的企业外，工业生产应当使用再生水或者地表水，禁止使用地下水。督察发现，元宝山发电有限责任公司在再生水管网已接通的情况下，2021—2023年，仍取用2478万立方米地下水用于生产。晨辉商贸有限公司存在违规取用地表水问题。</w:t>
            </w:r>
          </w:p>
        </w:tc>
      </w:tr>
      <w:tr w14:paraId="0B044A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2753" w:type="dxa"/>
            <w:vAlign w:val="center"/>
          </w:tcPr>
          <w:p w14:paraId="03D933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31"/>
                <w:szCs w:val="31"/>
              </w:rPr>
              <w:t>责任单位</w:t>
            </w:r>
          </w:p>
        </w:tc>
        <w:tc>
          <w:tcPr>
            <w:tcW w:w="6395" w:type="dxa"/>
            <w:vAlign w:val="center"/>
          </w:tcPr>
          <w:p w14:paraId="2FD85E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right="109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sz w:val="24"/>
                <w:szCs w:val="24"/>
                <w:highlight w:val="none"/>
              </w:rPr>
              <w:t>区水利局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（牵头）、</w:t>
            </w:r>
            <w:r>
              <w:rPr>
                <w:rFonts w:hint="eastAsia" w:ascii="Times New Roman" w:hAnsi="Times New Roman" w:eastAsia="仿宋_GB2312"/>
                <w:b w:val="0"/>
                <w:bCs w:val="0"/>
                <w:sz w:val="24"/>
                <w:szCs w:val="24"/>
                <w:highlight w:val="none"/>
              </w:rPr>
              <w:t>元宝山镇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风水沟镇</w:t>
            </w:r>
            <w:r>
              <w:rPr>
                <w:rFonts w:hint="eastAsia" w:ascii="Times New Roman" w:hAnsi="Times New Roman" w:eastAsia="仿宋_GB2312"/>
                <w:b w:val="0"/>
                <w:bCs w:val="0"/>
                <w:sz w:val="24"/>
                <w:szCs w:val="24"/>
                <w:highlight w:val="none"/>
              </w:rPr>
              <w:t>党委和政府</w:t>
            </w:r>
          </w:p>
        </w:tc>
      </w:tr>
      <w:tr w14:paraId="57278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2753" w:type="dxa"/>
            <w:vAlign w:val="center"/>
          </w:tcPr>
          <w:p w14:paraId="2F0EC9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整改目标</w:t>
            </w:r>
          </w:p>
        </w:tc>
        <w:tc>
          <w:tcPr>
            <w:tcW w:w="6395" w:type="dxa"/>
            <w:vAlign w:val="center"/>
          </w:tcPr>
          <w:p w14:paraId="1615F3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right="109" w:firstLine="496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查处违规取用地表水行为，规范地下水取用。</w:t>
            </w:r>
          </w:p>
        </w:tc>
      </w:tr>
      <w:tr w14:paraId="5C6C3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8" w:hRule="atLeast"/>
        </w:trPr>
        <w:tc>
          <w:tcPr>
            <w:tcW w:w="2753" w:type="dxa"/>
            <w:vAlign w:val="center"/>
          </w:tcPr>
          <w:p w14:paraId="3C247E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jc w:val="left"/>
              <w:textAlignment w:val="baseline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31"/>
                <w:szCs w:val="31"/>
              </w:rPr>
              <w:t>整改措施</w:t>
            </w:r>
          </w:p>
        </w:tc>
        <w:tc>
          <w:tcPr>
            <w:tcW w:w="6395" w:type="dxa"/>
            <w:vAlign w:val="center"/>
          </w:tcPr>
          <w:p w14:paraId="1D3D51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（1）2026年6月底前，元宝山发电有限责任公司完成新增再生水工程建设。2026年12月底前，封停元宝山发电有限责任公司在元宝山区范围内6眼地下水井。</w:t>
            </w:r>
          </w:p>
          <w:p w14:paraId="2FC56F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（2）拆除晨辉商贸有限公司取水设备，对该企业违规取用地表水问题立案查处。</w:t>
            </w:r>
          </w:p>
          <w:p w14:paraId="731C0A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（3）开展工业生产用水专项检查，2025年10月底前建立无证取水等违规取用地下水问题台账，2026年12月底前完成整治。</w:t>
            </w:r>
          </w:p>
          <w:p w14:paraId="589779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right="109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</w:pPr>
          </w:p>
        </w:tc>
      </w:tr>
      <w:tr w14:paraId="75A2A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7" w:hRule="atLeast"/>
        </w:trPr>
        <w:tc>
          <w:tcPr>
            <w:tcW w:w="2753" w:type="dxa"/>
            <w:vAlign w:val="top"/>
          </w:tcPr>
          <w:p w14:paraId="348511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firstLine="0" w:firstLineChars="0"/>
              <w:jc w:val="center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 w14:paraId="2BD9A2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firstLine="0" w:firstLineChars="0"/>
              <w:jc w:val="center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</w:p>
          <w:p w14:paraId="6D685F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1" w:line="240" w:lineRule="auto"/>
              <w:ind w:left="0" w:leftChars="0" w:firstLine="0" w:firstLineChars="0"/>
              <w:jc w:val="center"/>
              <w:textAlignment w:val="baseline"/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31"/>
                <w:szCs w:val="31"/>
              </w:rPr>
              <w:t>完成情况</w:t>
            </w:r>
          </w:p>
        </w:tc>
        <w:tc>
          <w:tcPr>
            <w:tcW w:w="6395" w:type="dxa"/>
            <w:vAlign w:val="center"/>
          </w:tcPr>
          <w:p w14:paraId="3B73AC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元宝山发电有限责任公司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highlight w:val="none"/>
                <w:lang w:val="en-US" w:eastAsia="zh-CN"/>
              </w:rPr>
              <w:t>已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highlight w:val="none"/>
              </w:rPr>
              <w:t>完成新增再生水工程建设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highlight w:val="none"/>
                <w:lang w:val="en-US" w:eastAsia="zh-CN"/>
              </w:rPr>
              <w:t>接入赤峰市德润排水有限责任公司再生水，截止2025年1</w:t>
            </w:r>
            <w:r>
              <w:rPr>
                <w:rFonts w:hint="eastAsia" w:ascii="仿宋_GB2312" w:hAnsi="仿宋_GB2312" w:cs="仿宋_GB2312"/>
                <w:spacing w:val="4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highlight w:val="none"/>
                <w:lang w:val="en-US" w:eastAsia="zh-CN"/>
              </w:rPr>
              <w:t>月已取用再生水448.9453万立方米。已封停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highlight w:val="none"/>
              </w:rPr>
              <w:t>元宝山发电有限责任公司在元宝山区范围内6眼地下水井。</w:t>
            </w:r>
          </w:p>
          <w:p w14:paraId="331E77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晨辉商贸有限公司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已拆除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取水设备，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赤峰市元宝山区水利局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对该企业违规取用地表水问题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已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立案查处。</w:t>
            </w:r>
          </w:p>
          <w:p w14:paraId="041BEC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元宝山区水利局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开展工业生产用水专项检查，建立无证取水等违规取用地下水问题台账，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完成整治。</w:t>
            </w:r>
          </w:p>
        </w:tc>
      </w:tr>
    </w:tbl>
    <w:p w14:paraId="126902AA"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36245"/>
    <w:rsid w:val="3323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3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2025-12-02T07:53:00Z</dcterms:created>
  <dc:creator>卷 卷</dc:creator>
  <cp:lastModifiedBy>卷 卷</cp:lastModifiedBy>
  <dcterms:modified xsi:type="dcterms:W3CDTF">2025-12-02T07:54:25Z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68635D208F0E4C0ABBF0807D990A49AF_11</vt:lpwstr>
  </property>
  <property fmtid="{D5CDD505-2E9C-101B-9397-08002B2CF9AE}" pid="4" name="KSOTemplateDocerSaveRecord">
    <vt:lpwstr>eyJoZGlkIjoiZmYwZjgzOTFkNGI0MmMzMDJlYWNmNGU1ZWU1OTczZjAiLCJ1c2VySWQiOiIxMjkzMjM2NDc5In0=</vt:lpwstr>
  </property>
</Properties>
</file>