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6A953">
      <w:pPr>
        <w:spacing w:before="101" w:line="417" w:lineRule="exact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position w:val="1"/>
          <w:sz w:val="32"/>
          <w:szCs w:val="32"/>
        </w:rPr>
        <w:t>附件</w:t>
      </w:r>
    </w:p>
    <w:p w14:paraId="04403424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二</w:t>
      </w: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轮自治区生态环境保护督察</w:t>
      </w:r>
    </w:p>
    <w:p w14:paraId="4C77E377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highlight w:val="none"/>
          <w:lang w:val="en-US" w:eastAsia="zh-CN"/>
        </w:rPr>
        <w:t>9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  <w:highlight w:val="none"/>
        </w:rPr>
        <w:t>项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整改任务完成情况表</w:t>
      </w:r>
    </w:p>
    <w:p w14:paraId="693BA9C5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24"/>
          <w:szCs w:val="24"/>
        </w:rPr>
      </w:pPr>
    </w:p>
    <w:tbl>
      <w:tblPr>
        <w:tblStyle w:val="4"/>
        <w:tblW w:w="914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3"/>
        <w:gridCol w:w="6395"/>
      </w:tblGrid>
      <w:tr w14:paraId="7D2E0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2753" w:type="dxa"/>
            <w:vAlign w:val="center"/>
          </w:tcPr>
          <w:p w14:paraId="1CB3EE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整改任务</w:t>
            </w:r>
          </w:p>
        </w:tc>
        <w:tc>
          <w:tcPr>
            <w:tcW w:w="6395" w:type="dxa"/>
            <w:vAlign w:val="center"/>
          </w:tcPr>
          <w:p w14:paraId="46199F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2022年全市地下水开发利用控制指标为13.68亿立方米，实际取水量16.36亿立方米，52个地下水管理单元中有24个超管控指标，22个超水量管控指标的单元共超管控目标取水4.39亿立方米。（元宝山区老哈河山间平原区单元格超管控目标取水3444万立方米。）</w:t>
            </w:r>
          </w:p>
        </w:tc>
      </w:tr>
      <w:tr w14:paraId="0B044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2753" w:type="dxa"/>
            <w:vAlign w:val="center"/>
          </w:tcPr>
          <w:p w14:paraId="03D933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31"/>
                <w:szCs w:val="31"/>
              </w:rPr>
              <w:t>责任单位</w:t>
            </w:r>
          </w:p>
        </w:tc>
        <w:tc>
          <w:tcPr>
            <w:tcW w:w="6395" w:type="dxa"/>
            <w:vAlign w:val="center"/>
          </w:tcPr>
          <w:p w14:paraId="2FD85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区水利局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（牵头）、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农牧局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工科局、住建局、各镇乡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党委和政府</w:t>
            </w:r>
          </w:p>
        </w:tc>
      </w:tr>
      <w:tr w14:paraId="57278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753" w:type="dxa"/>
            <w:vAlign w:val="center"/>
          </w:tcPr>
          <w:p w14:paraId="2F0EC9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整改目标</w:t>
            </w:r>
          </w:p>
        </w:tc>
        <w:tc>
          <w:tcPr>
            <w:tcW w:w="6395" w:type="dxa"/>
            <w:vAlign w:val="center"/>
          </w:tcPr>
          <w:p w14:paraId="1615F3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坚持量水而行、节水优先，力争2024年-2025年全区单元格不超管控指标。</w:t>
            </w:r>
          </w:p>
        </w:tc>
      </w:tr>
      <w:tr w14:paraId="5C6C3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1" w:hRule="atLeast"/>
        </w:trPr>
        <w:tc>
          <w:tcPr>
            <w:tcW w:w="2753" w:type="dxa"/>
            <w:vAlign w:val="center"/>
          </w:tcPr>
          <w:p w14:paraId="3C247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整改措施</w:t>
            </w:r>
          </w:p>
        </w:tc>
        <w:tc>
          <w:tcPr>
            <w:tcW w:w="6395" w:type="dxa"/>
            <w:vAlign w:val="center"/>
          </w:tcPr>
          <w:p w14:paraId="088B90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从农业工程节水、农艺节水、机制节水、结构节水等方面持续推进农业高效节水，申请2025年建设高标准农田2万亩以上。推广抗旱品种1万亩。</w:t>
            </w:r>
          </w:p>
          <w:p w14:paraId="07990F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left="0" w:leftChars="0" w:firstLine="496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全力推进“节水行动”，严格落实《赤峰市“四水四定”实施方案》、《赤峰市水资源节约集约利用“一旗（县、区）一策”》提出的各项措施，坚决推动农业节水增效、工业节水减排、城镇节水降损。</w:t>
            </w:r>
          </w:p>
          <w:p w14:paraId="7BD141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ind w:firstLine="496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3）强化取用水审批管理，严格落实《内蒙古自治区水利厅关于印发2023年度地下水管理单元水位水量评估结果的通知》（内水资〔2024〕244号）有关要求，自治区水利厅2024年度地下水管理单元水位水量评估结果印发公布前，除城乡居民生活或者供热管网补水等特殊情形外，暂停审批超水量管控指标单元新增取用地下水。</w:t>
            </w:r>
          </w:p>
        </w:tc>
      </w:tr>
      <w:tr w14:paraId="75A2A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1" w:hRule="atLeast"/>
        </w:trPr>
        <w:tc>
          <w:tcPr>
            <w:tcW w:w="2753" w:type="dxa"/>
            <w:vAlign w:val="top"/>
          </w:tcPr>
          <w:p w14:paraId="34851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2BD9A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6D685F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  <w:t>完成情况</w:t>
            </w:r>
          </w:p>
        </w:tc>
        <w:tc>
          <w:tcPr>
            <w:tcW w:w="6395" w:type="dxa"/>
            <w:vAlign w:val="center"/>
          </w:tcPr>
          <w:p w14:paraId="575D4A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2025年元宝山区小五家乡、五家镇、平庄镇、风水沟镇申请建设2.4万亩改造提升高标准农田建设项目，现已开工建设。已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推广抗旱品种1万亩。</w:t>
            </w:r>
          </w:p>
          <w:p w14:paraId="3B5C45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全力推进“节水行动”，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《赤峰市水资源节约集约利用“一旗（县、区）一策”》提出的各项措施。</w:t>
            </w:r>
          </w:p>
          <w:p w14:paraId="18300B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spacing w:val="8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按照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《内蒙古自治区水利厅关于印发202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年度地下水管理单元水位水量评估结果的通知》（内水资〔202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49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</w:rPr>
              <w:t>号）有关要求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4"/>
                <w:szCs w:val="24"/>
                <w:lang w:val="en-US" w:eastAsia="zh-CN"/>
              </w:rPr>
              <w:t>开展相关工作。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2024年-2025年全区单元格</w:t>
            </w: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lang w:val="en-US" w:eastAsia="zh-CN"/>
              </w:rPr>
              <w:t>未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超管控指标。</w:t>
            </w:r>
          </w:p>
        </w:tc>
      </w:tr>
    </w:tbl>
    <w:p w14:paraId="09E1726B">
      <w:pPr>
        <w:ind w:left="0" w:leftChars="0" w:firstLine="0" w:firstLineChars="0"/>
        <w:jc w:val="both"/>
        <w:rPr>
          <w:rFonts w:hint="eastAsia" w:ascii="仿宋_GB2312" w:hAnsi="仿宋_GB2312" w:cs="仿宋_GB2312"/>
          <w:sz w:val="11"/>
          <w:szCs w:val="11"/>
          <w:lang w:val="en-US" w:eastAsia="zh-CN"/>
        </w:rPr>
      </w:pPr>
    </w:p>
    <w:p w14:paraId="794838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6B9C3D"/>
    <w:multiLevelType w:val="singleLevel"/>
    <w:tmpl w:val="716B9C3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810E9"/>
    <w:rsid w:val="4EA8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2025-12-02T07:54:00Z</dcterms:created>
  <dc:creator>卷 卷</dc:creator>
  <cp:lastModifiedBy>卷 卷</cp:lastModifiedBy>
  <dcterms:modified xsi:type="dcterms:W3CDTF">2025-12-02T07:55:07Z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5D2D9345334A4FF495C0DD01F6A11A65_11</vt:lpwstr>
  </property>
  <property fmtid="{D5CDD505-2E9C-101B-9397-08002B2CF9AE}" pid="4" name="KSOTemplateDocerSaveRecord">
    <vt:lpwstr>eyJoZGlkIjoiZmYwZjgzOTFkNGI0MmMzMDJlYWNmNGU1ZWU1OTczZjAiLCJ1c2VySWQiOiIxMjkzMjM2NDc5In0=</vt:lpwstr>
  </property>
</Properties>
</file>