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9FCFC">
      <w:pPr>
        <w:keepNext w:val="0"/>
        <w:keepLines w:val="0"/>
        <w:pageBreakBefore w:val="0"/>
        <w:widowControl w:val="0"/>
        <w:kinsoku w:val="0"/>
        <w:wordWrap/>
        <w:overflowPunct/>
        <w:topLinePunct w:val="0"/>
        <w:autoSpaceDE w:val="0"/>
        <w:autoSpaceDN w:val="0"/>
        <w:bidi w:val="0"/>
        <w:adjustRightInd w:val="0"/>
        <w:snapToGrid w:val="0"/>
        <w:spacing w:line="580" w:lineRule="exact"/>
        <w:ind w:right="0"/>
        <w:jc w:val="left"/>
        <w:textAlignment w:val="auto"/>
        <w:rPr>
          <w:rFonts w:hint="eastAsia" w:ascii="方正小标宋简体" w:hAnsi="方正小标宋简体" w:eastAsia="方正小标宋简体" w:cs="方正小标宋简体"/>
          <w:b w:val="0"/>
          <w:bCs w:val="0"/>
          <w:color w:val="auto"/>
          <w:spacing w:val="9"/>
          <w:sz w:val="44"/>
          <w:szCs w:val="44"/>
        </w:rPr>
      </w:pPr>
      <w:r>
        <w:rPr>
          <w:rFonts w:hint="eastAsia" w:ascii="方正小标宋简体" w:hAnsi="方正小标宋简体" w:eastAsia="方正小标宋简体" w:cs="方正小标宋简体"/>
          <w:b w:val="0"/>
          <w:bCs w:val="0"/>
          <w:color w:val="auto"/>
          <w:spacing w:val="9"/>
          <w:sz w:val="44"/>
          <w:szCs w:val="44"/>
          <w:lang w:val="en-US" w:eastAsia="zh-CN"/>
        </w:rPr>
        <w:t>赤峰市</w:t>
      </w:r>
      <w:r>
        <w:rPr>
          <w:rFonts w:hint="eastAsia" w:ascii="方正小标宋简体" w:hAnsi="方正小标宋简体" w:eastAsia="方正小标宋简体" w:cs="方正小标宋简体"/>
          <w:b w:val="0"/>
          <w:bCs w:val="0"/>
          <w:color w:val="auto"/>
          <w:spacing w:val="9"/>
          <w:sz w:val="44"/>
          <w:szCs w:val="44"/>
        </w:rPr>
        <w:t>元宝山区</w:t>
      </w:r>
      <w:r>
        <w:rPr>
          <w:rFonts w:hint="eastAsia" w:ascii="方正小标宋简体" w:hAnsi="方正小标宋简体" w:eastAsia="方正小标宋简体" w:cs="方正小标宋简体"/>
          <w:b w:val="0"/>
          <w:bCs w:val="0"/>
          <w:color w:val="auto"/>
          <w:spacing w:val="9"/>
          <w:sz w:val="44"/>
          <w:szCs w:val="44"/>
          <w:lang w:val="en-US" w:eastAsia="zh-CN"/>
        </w:rPr>
        <w:t>2026</w:t>
      </w:r>
      <w:r>
        <w:rPr>
          <w:rFonts w:hint="eastAsia" w:ascii="方正小标宋简体" w:hAnsi="方正小标宋简体" w:eastAsia="方正小标宋简体" w:cs="方正小标宋简体"/>
          <w:b w:val="0"/>
          <w:bCs w:val="0"/>
          <w:color w:val="auto"/>
          <w:spacing w:val="9"/>
          <w:sz w:val="44"/>
          <w:szCs w:val="44"/>
        </w:rPr>
        <w:t>年度地质灾害防治方案</w:t>
      </w:r>
    </w:p>
    <w:p w14:paraId="145C53DE">
      <w:pPr>
        <w:keepNext w:val="0"/>
        <w:keepLines w:val="0"/>
        <w:pageBreakBefore w:val="0"/>
        <w:widowControl w:val="0"/>
        <w:kinsoku w:val="0"/>
        <w:wordWrap/>
        <w:overflowPunct/>
        <w:topLinePunct w:val="0"/>
        <w:autoSpaceDE w:val="0"/>
        <w:autoSpaceDN w:val="0"/>
        <w:bidi w:val="0"/>
        <w:adjustRightInd w:val="0"/>
        <w:snapToGrid w:val="0"/>
        <w:spacing w:line="580" w:lineRule="exact"/>
        <w:ind w:right="0"/>
        <w:jc w:val="left"/>
        <w:textAlignment w:val="auto"/>
        <w:rPr>
          <w:rFonts w:hint="eastAsia" w:ascii="方正小标宋简体" w:hAnsi="方正小标宋简体" w:eastAsia="方正小标宋简体" w:cs="方正小标宋简体"/>
          <w:b w:val="0"/>
          <w:bCs w:val="0"/>
          <w:color w:val="auto"/>
          <w:spacing w:val="9"/>
          <w:sz w:val="36"/>
          <w:szCs w:val="36"/>
        </w:rPr>
      </w:pPr>
    </w:p>
    <w:p w14:paraId="3C593ADF">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为切实做好202</w:t>
      </w:r>
      <w:r>
        <w:rPr>
          <w:rFonts w:hint="eastAsia" w:ascii="仿宋_GB2312" w:hAnsi="仿宋_GB2312" w:eastAsia="仿宋_GB2312" w:cs="仿宋_GB2312"/>
          <w:color w:val="auto"/>
          <w:spacing w:val="0"/>
          <w:sz w:val="32"/>
          <w:szCs w:val="32"/>
          <w:shd w:val="clear" w:color="auto" w:fill="auto"/>
          <w:lang w:val="en-US" w:eastAsia="zh-CN"/>
        </w:rPr>
        <w:t>6</w:t>
      </w:r>
      <w:r>
        <w:rPr>
          <w:rFonts w:hint="eastAsia" w:ascii="仿宋_GB2312" w:hAnsi="仿宋_GB2312" w:eastAsia="仿宋_GB2312" w:cs="仿宋_GB2312"/>
          <w:color w:val="auto"/>
          <w:spacing w:val="0"/>
          <w:sz w:val="32"/>
          <w:szCs w:val="32"/>
          <w:shd w:val="clear" w:color="auto" w:fill="auto"/>
        </w:rPr>
        <w:t>年度</w:t>
      </w:r>
      <w:r>
        <w:rPr>
          <w:rFonts w:hint="eastAsia" w:ascii="仿宋_GB2312" w:hAnsi="仿宋_GB2312" w:eastAsia="仿宋_GB2312" w:cs="仿宋_GB2312"/>
          <w:color w:val="auto"/>
          <w:spacing w:val="0"/>
          <w:sz w:val="32"/>
          <w:szCs w:val="32"/>
          <w:shd w:val="clear" w:color="auto" w:fill="auto"/>
          <w:lang w:val="en-US" w:eastAsia="zh-CN"/>
        </w:rPr>
        <w:t>赤峰市元宝山区</w:t>
      </w:r>
      <w:r>
        <w:rPr>
          <w:rFonts w:hint="eastAsia" w:ascii="仿宋_GB2312" w:hAnsi="仿宋_GB2312" w:eastAsia="仿宋_GB2312" w:cs="仿宋_GB2312"/>
          <w:color w:val="auto"/>
          <w:spacing w:val="0"/>
          <w:sz w:val="32"/>
          <w:szCs w:val="32"/>
          <w:shd w:val="clear" w:color="auto" w:fill="auto"/>
        </w:rPr>
        <w:t>地质灾害防治工作，避免或最大程度地</w:t>
      </w:r>
      <w:r>
        <w:rPr>
          <w:rFonts w:hint="eastAsia" w:ascii="仿宋_GB2312" w:hAnsi="仿宋_GB2312" w:eastAsia="仿宋_GB2312" w:cs="仿宋_GB2312"/>
          <w:color w:val="auto"/>
          <w:spacing w:val="0"/>
          <w:sz w:val="32"/>
          <w:szCs w:val="32"/>
          <w:shd w:val="clear" w:color="auto" w:fill="auto"/>
          <w:lang w:val="en-US" w:eastAsia="zh-CN"/>
        </w:rPr>
        <w:t>减轻</w:t>
      </w:r>
      <w:r>
        <w:rPr>
          <w:rFonts w:hint="eastAsia" w:ascii="仿宋_GB2312" w:hAnsi="仿宋_GB2312" w:eastAsia="仿宋_GB2312" w:cs="仿宋_GB2312"/>
          <w:color w:val="auto"/>
          <w:spacing w:val="0"/>
          <w:sz w:val="32"/>
          <w:szCs w:val="32"/>
          <w:shd w:val="clear" w:color="auto" w:fill="auto"/>
        </w:rPr>
        <w:t>地质灾害造成的损失，特别是尽量减少近年来极端气候和人类工程活动等引发地质灾害造成的人员、财产损失，维护人民的生命和财产安全，根据《地质灾害防治条例》</w:t>
      </w:r>
      <w:r>
        <w:rPr>
          <w:rFonts w:hint="eastAsia" w:ascii="仿宋_GB2312" w:hAnsi="仿宋_GB2312" w:eastAsia="仿宋_GB2312" w:cs="仿宋_GB2312"/>
          <w:color w:val="auto"/>
          <w:spacing w:val="0"/>
          <w:sz w:val="32"/>
          <w:szCs w:val="32"/>
          <w:shd w:val="clear" w:color="auto" w:fill="auto"/>
          <w:lang w:eastAsia="zh-CN"/>
        </w:rPr>
        <w:t>（国务院令第394号）</w:t>
      </w:r>
      <w:r>
        <w:rPr>
          <w:rFonts w:hint="eastAsia" w:ascii="仿宋_GB2312" w:hAnsi="仿宋_GB2312" w:eastAsia="仿宋_GB2312" w:cs="仿宋_GB2312"/>
          <w:color w:val="auto"/>
          <w:spacing w:val="0"/>
          <w:sz w:val="32"/>
          <w:szCs w:val="32"/>
          <w:shd w:val="clear" w:color="auto" w:fill="auto"/>
        </w:rPr>
        <w:t>、《内蒙古自治区突发地质灾害应急预案》、《内蒙古自治区自然资源厅关于加强汛前地质灾害防治工作的通知》（内自然资字﹝2024﹞168号）的有关规定，并结合我</w:t>
      </w:r>
      <w:r>
        <w:rPr>
          <w:rFonts w:hint="eastAsia" w:ascii="仿宋_GB2312" w:hAnsi="仿宋_GB2312" w:eastAsia="仿宋_GB2312" w:cs="仿宋_GB2312"/>
          <w:color w:val="auto"/>
          <w:spacing w:val="0"/>
          <w:sz w:val="32"/>
          <w:szCs w:val="32"/>
          <w:shd w:val="clear" w:color="auto" w:fill="auto"/>
          <w:lang w:val="en-US" w:eastAsia="zh-CN"/>
        </w:rPr>
        <w:t>区</w:t>
      </w:r>
      <w:r>
        <w:rPr>
          <w:rFonts w:hint="eastAsia" w:ascii="仿宋_GB2312" w:hAnsi="仿宋_GB2312" w:eastAsia="仿宋_GB2312" w:cs="仿宋_GB2312"/>
          <w:color w:val="auto"/>
          <w:spacing w:val="0"/>
          <w:sz w:val="32"/>
          <w:szCs w:val="32"/>
          <w:shd w:val="clear" w:color="auto" w:fill="auto"/>
        </w:rPr>
        <w:t>地质灾害防治工作实际情况，制定本方案。</w:t>
      </w:r>
    </w:p>
    <w:p w14:paraId="526ED02C">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outlineLvl w:val="2"/>
        <w:rPr>
          <w:rFonts w:hint="eastAsia" w:ascii="黑体" w:hAnsi="黑体" w:eastAsia="黑体" w:cs="黑体"/>
          <w:b w:val="0"/>
          <w:bCs w:val="0"/>
          <w:color w:val="auto"/>
          <w:spacing w:val="0"/>
          <w:sz w:val="32"/>
          <w:szCs w:val="32"/>
          <w:shd w:val="clear" w:color="auto" w:fill="auto"/>
        </w:rPr>
      </w:pPr>
      <w:r>
        <w:rPr>
          <w:rFonts w:hint="eastAsia" w:ascii="黑体" w:hAnsi="黑体" w:eastAsia="黑体" w:cs="黑体"/>
          <w:b w:val="0"/>
          <w:bCs w:val="0"/>
          <w:color w:val="auto"/>
          <w:spacing w:val="0"/>
          <w:sz w:val="32"/>
          <w:szCs w:val="32"/>
          <w:shd w:val="clear" w:color="auto" w:fill="auto"/>
        </w:rPr>
        <w:t>一、总则</w:t>
      </w:r>
    </w:p>
    <w:p w14:paraId="541B2EBA">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本方案所称地质灾害是指因自然因素或人为活动引发的危害人民生命和财产安全的山体滑坡、崩塌、泥石流、地面塌陷、地裂缝、地面沉降等与地质作用有关的灾害。</w:t>
      </w:r>
    </w:p>
    <w:p w14:paraId="283BF408">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202</w:t>
      </w:r>
      <w:r>
        <w:rPr>
          <w:rFonts w:hint="eastAsia" w:ascii="仿宋_GB2312" w:hAnsi="仿宋_GB2312" w:eastAsia="仿宋_GB2312" w:cs="仿宋_GB2312"/>
          <w:color w:val="auto"/>
          <w:spacing w:val="0"/>
          <w:sz w:val="32"/>
          <w:szCs w:val="32"/>
          <w:shd w:val="clear" w:color="auto" w:fill="auto"/>
          <w:lang w:val="en-US" w:eastAsia="zh-CN"/>
        </w:rPr>
        <w:t>6</w:t>
      </w:r>
      <w:r>
        <w:rPr>
          <w:rFonts w:hint="eastAsia" w:ascii="仿宋_GB2312" w:hAnsi="仿宋_GB2312" w:eastAsia="仿宋_GB2312" w:cs="仿宋_GB2312"/>
          <w:color w:val="auto"/>
          <w:spacing w:val="0"/>
          <w:sz w:val="32"/>
          <w:szCs w:val="32"/>
          <w:shd w:val="clear" w:color="auto" w:fill="auto"/>
        </w:rPr>
        <w:t>年度</w:t>
      </w:r>
      <w:r>
        <w:rPr>
          <w:rFonts w:hint="eastAsia" w:ascii="仿宋_GB2312" w:hAnsi="仿宋_GB2312" w:eastAsia="仿宋_GB2312" w:cs="仿宋_GB2312"/>
          <w:color w:val="auto"/>
          <w:spacing w:val="0"/>
          <w:sz w:val="32"/>
          <w:szCs w:val="32"/>
          <w:shd w:val="clear" w:color="auto" w:fill="auto"/>
          <w:lang w:val="en-US" w:eastAsia="zh-CN"/>
        </w:rPr>
        <w:t>我区</w:t>
      </w:r>
      <w:r>
        <w:rPr>
          <w:rFonts w:hint="eastAsia" w:ascii="仿宋_GB2312" w:hAnsi="仿宋_GB2312" w:eastAsia="仿宋_GB2312" w:cs="仿宋_GB2312"/>
          <w:color w:val="auto"/>
          <w:spacing w:val="0"/>
          <w:sz w:val="32"/>
          <w:szCs w:val="32"/>
          <w:shd w:val="clear" w:color="auto" w:fill="auto"/>
        </w:rPr>
        <w:t>地质灾害防治工作的指导思想是以党的二十大精神为指引，牢固树立和贯彻落实创新、协调、开放、绿色、共享的发展理念，坚持以人民为中心的发展思想，深入贯彻《国务院关于加强地质灾害防治工作的决定》，进一步完善调查评价、监测预警、综合治理、应急防治四大体系，充分依靠科技进步和管理创新，加强统筹协调，提高防治效率，全面提升地质灾害防治能力，最大限度地减少地质灾害造成的人员伤亡和财产损失，为构建</w:t>
      </w:r>
      <w:r>
        <w:rPr>
          <w:rFonts w:hint="eastAsia" w:ascii="仿宋_GB2312" w:hAnsi="仿宋_GB2312" w:eastAsia="仿宋_GB2312" w:cs="仿宋_GB2312"/>
          <w:color w:val="auto"/>
          <w:spacing w:val="0"/>
          <w:sz w:val="32"/>
          <w:szCs w:val="32"/>
          <w:shd w:val="clear" w:color="auto" w:fill="auto"/>
          <w:lang w:val="en-US" w:eastAsia="zh-CN"/>
        </w:rPr>
        <w:t>赤峰市元宝山区</w:t>
      </w:r>
      <w:r>
        <w:rPr>
          <w:rFonts w:hint="eastAsia" w:ascii="仿宋_GB2312" w:hAnsi="仿宋_GB2312" w:eastAsia="仿宋_GB2312" w:cs="仿宋_GB2312"/>
          <w:color w:val="auto"/>
          <w:spacing w:val="0"/>
          <w:sz w:val="32"/>
          <w:szCs w:val="32"/>
          <w:shd w:val="clear" w:color="auto" w:fill="auto"/>
        </w:rPr>
        <w:t>安全稳定屏障作贡献。</w:t>
      </w:r>
    </w:p>
    <w:p w14:paraId="7EF2618A">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kern w:val="16"/>
          <w:sz w:val="32"/>
          <w:szCs w:val="32"/>
          <w:shd w:val="clear" w:color="auto" w:fill="auto"/>
          <w:lang w:val="en-US" w:eastAsia="zh-CN"/>
        </w:rPr>
      </w:pPr>
      <w:r>
        <w:rPr>
          <w:rFonts w:hint="eastAsia" w:ascii="仿宋_GB2312" w:hAnsi="仿宋_GB2312" w:eastAsia="仿宋_GB2312" w:cs="仿宋_GB2312"/>
          <w:color w:val="auto"/>
          <w:spacing w:val="0"/>
          <w:kern w:val="16"/>
          <w:sz w:val="32"/>
          <w:szCs w:val="32"/>
          <w:shd w:val="clear" w:color="auto" w:fill="auto"/>
          <w:lang w:val="en-US" w:eastAsia="zh-CN"/>
        </w:rPr>
        <w:t>2026年度我区地质灾害防治工作的原则是坚持“人民至上，生命至上”、“分级分类、属地管理”、“预防为主、避让与治理相结合”、“统筹规划，突出重点”、“协调配合，各负其责”、“因地制宜，讲究实效”的原则。</w:t>
      </w:r>
    </w:p>
    <w:p w14:paraId="4761413C">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outlineLvl w:val="2"/>
        <w:rPr>
          <w:rFonts w:hint="eastAsia" w:ascii="黑体" w:hAnsi="黑体" w:eastAsia="黑体" w:cs="黑体"/>
          <w:b w:val="0"/>
          <w:bCs w:val="0"/>
          <w:color w:val="auto"/>
          <w:spacing w:val="0"/>
          <w:sz w:val="32"/>
          <w:szCs w:val="32"/>
          <w:highlight w:val="none"/>
          <w:shd w:val="clear" w:color="auto" w:fill="auto"/>
        </w:rPr>
      </w:pPr>
      <w:r>
        <w:rPr>
          <w:rFonts w:hint="eastAsia" w:ascii="黑体" w:hAnsi="黑体" w:eastAsia="黑体" w:cs="黑体"/>
          <w:b w:val="0"/>
          <w:bCs w:val="0"/>
          <w:color w:val="auto"/>
          <w:spacing w:val="0"/>
          <w:sz w:val="32"/>
          <w:szCs w:val="32"/>
          <w:highlight w:val="none"/>
          <w:shd w:val="clear" w:color="auto" w:fill="auto"/>
          <w:lang w:val="en-US" w:eastAsia="zh-CN"/>
        </w:rPr>
        <w:t>二</w:t>
      </w:r>
      <w:r>
        <w:rPr>
          <w:rFonts w:hint="eastAsia" w:ascii="黑体" w:hAnsi="黑体" w:eastAsia="黑体" w:cs="黑体"/>
          <w:b w:val="0"/>
          <w:bCs w:val="0"/>
          <w:color w:val="auto"/>
          <w:spacing w:val="0"/>
          <w:sz w:val="32"/>
          <w:szCs w:val="32"/>
          <w:highlight w:val="none"/>
          <w:shd w:val="clear" w:color="auto" w:fill="auto"/>
        </w:rPr>
        <w:t>、区域内地质灾害类型</w:t>
      </w:r>
    </w:p>
    <w:p w14:paraId="4259009D">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赤峰市元宝山区位于燕山山系七老图山脉的北部及辽西丘陵交汇处。总观全区地势，西南高东北低，山脉走向为北东方向，海拔一般在200-1200米丘陵起伏，沟壑纵横。我区境内的地质灾害主要与矿业生产密切相伴，由人为因素诱发所造成。区域内人为因素形成的地质灾害有崩塌、滑坡、泥石流、地面塌陷、地裂缝、地面沉降、地表水渗漏、地下水干枯等多种类型，且分布广，数量多，已成为影响人民生产生活的重大隐患。</w:t>
      </w:r>
    </w:p>
    <w:p w14:paraId="0CA5D234">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2025年12月《内蒙古自治区赤峰市元宝山区地质灾害更新调查报告》确定更新调查后赤峰市元宝山区隐患点35处，地质灾害类型有滑坡、崩塌、泥石流、地面塌陷，其中滑坡4处，按规模为大型1处、中型1处、小型2处；崩塌2处，按规模为中型1处、小型1处；地面塌陷26处，按规模为特大型7处、大型10处、中型3处、小型6处；泥石流3处，按规模均为小型。各乡镇地质灾害分布密度不同，元宝山区两处煤田所涉及的灾害点相对密集，而其他乡镇相对稀疏。灾害点最多的为元宝山区元宝山镇和平庄镇。</w:t>
      </w:r>
    </w:p>
    <w:p w14:paraId="32AA5516">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outlineLvl w:val="2"/>
        <w:rPr>
          <w:rFonts w:hint="eastAsia" w:ascii="黑体" w:hAnsi="黑体" w:eastAsia="黑体" w:cs="黑体"/>
          <w:b w:val="0"/>
          <w:bCs w:val="0"/>
          <w:color w:val="auto"/>
          <w:spacing w:val="0"/>
          <w:sz w:val="32"/>
          <w:szCs w:val="32"/>
          <w:shd w:val="clear" w:color="auto" w:fill="auto"/>
        </w:rPr>
      </w:pPr>
      <w:r>
        <w:rPr>
          <w:rFonts w:hint="eastAsia" w:ascii="黑体" w:hAnsi="黑体" w:eastAsia="黑体" w:cs="黑体"/>
          <w:b w:val="0"/>
          <w:bCs w:val="0"/>
          <w:color w:val="auto"/>
          <w:spacing w:val="0"/>
          <w:sz w:val="32"/>
          <w:szCs w:val="32"/>
          <w:shd w:val="clear" w:color="auto" w:fill="auto"/>
          <w:lang w:val="en-US" w:eastAsia="zh-CN"/>
        </w:rPr>
        <w:t>三</w:t>
      </w:r>
      <w:r>
        <w:rPr>
          <w:rFonts w:hint="eastAsia" w:ascii="黑体" w:hAnsi="黑体" w:eastAsia="黑体" w:cs="黑体"/>
          <w:b w:val="0"/>
          <w:bCs w:val="0"/>
          <w:color w:val="auto"/>
          <w:spacing w:val="0"/>
          <w:sz w:val="32"/>
          <w:szCs w:val="32"/>
          <w:shd w:val="clear" w:color="auto" w:fill="auto"/>
        </w:rPr>
        <w:t>、地质灾害的成因</w:t>
      </w:r>
    </w:p>
    <w:p w14:paraId="15E75100">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color w:val="auto"/>
          <w:spacing w:val="0"/>
          <w:sz w:val="32"/>
          <w:szCs w:val="32"/>
          <w:shd w:val="clear" w:color="auto" w:fill="auto"/>
        </w:rPr>
      </w:pPr>
      <w:r>
        <w:rPr>
          <w:rFonts w:hint="eastAsia" w:ascii="楷体" w:hAnsi="楷体" w:eastAsia="楷体" w:cs="楷体"/>
          <w:color w:val="auto"/>
          <w:spacing w:val="0"/>
          <w:sz w:val="32"/>
          <w:szCs w:val="32"/>
          <w:shd w:val="clear" w:color="auto" w:fill="auto"/>
          <w:lang w:eastAsia="zh-CN"/>
        </w:rPr>
        <w:t>（</w:t>
      </w:r>
      <w:r>
        <w:rPr>
          <w:rFonts w:hint="eastAsia" w:ascii="楷体" w:hAnsi="楷体" w:eastAsia="楷体" w:cs="楷体"/>
          <w:color w:val="auto"/>
          <w:spacing w:val="0"/>
          <w:sz w:val="32"/>
          <w:szCs w:val="32"/>
          <w:shd w:val="clear" w:color="auto" w:fill="auto"/>
          <w:lang w:val="en-US" w:eastAsia="zh-CN"/>
        </w:rPr>
        <w:t>一</w:t>
      </w:r>
      <w:r>
        <w:rPr>
          <w:rFonts w:hint="eastAsia" w:ascii="楷体" w:hAnsi="楷体" w:eastAsia="楷体" w:cs="楷体"/>
          <w:color w:val="auto"/>
          <w:spacing w:val="0"/>
          <w:sz w:val="32"/>
          <w:szCs w:val="32"/>
          <w:shd w:val="clear" w:color="auto" w:fill="auto"/>
          <w:lang w:eastAsia="zh-CN"/>
        </w:rPr>
        <w:t>）</w:t>
      </w:r>
      <w:r>
        <w:rPr>
          <w:rFonts w:hint="eastAsia" w:ascii="楷体" w:hAnsi="楷体" w:eastAsia="楷体" w:cs="楷体"/>
          <w:color w:val="auto"/>
          <w:spacing w:val="0"/>
          <w:sz w:val="32"/>
          <w:szCs w:val="32"/>
          <w:shd w:val="clear" w:color="auto" w:fill="auto"/>
        </w:rPr>
        <w:t>崩塌、滑坡</w:t>
      </w:r>
    </w:p>
    <w:p w14:paraId="04B001FE">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主要诱发因素是露天采坑及剥离物堆积、裸露切坡引起。元宝山区松散岩层土质疏松，透水性较强，容易在降雨等外力作用下降低岩土体的抗剪强度，增加坡体的下滑力，且区内植被覆盖不均，易导致坡面水土流失，增加崩塌、滑坡的风险。赤峰市元宝山区滑坡的变形破坏机制主要为牵引式滑坡，滑坡规模为大型及小型，多以浅表层的滑坡为主，其风险等级较低。崩塌的变形破坏机制主要包括块体崩落和倾倒崩塌，崩塌规模均为小型，其危害程度较大。崩塌、滑坡地质灾害的发生</w:t>
      </w:r>
      <w:r>
        <w:rPr>
          <w:rFonts w:hint="eastAsia" w:ascii="仿宋_GB2312" w:hAnsi="仿宋_GB2312" w:eastAsia="仿宋_GB2312" w:cs="仿宋_GB2312"/>
          <w:color w:val="auto"/>
          <w:spacing w:val="0"/>
          <w:sz w:val="32"/>
          <w:szCs w:val="32"/>
          <w:shd w:val="clear" w:color="auto" w:fill="auto"/>
        </w:rPr>
        <w:t>将直接危及崩落体、滑坡体附近的人员人身安全和财产安全。</w:t>
      </w:r>
    </w:p>
    <w:p w14:paraId="561B18EB">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color w:val="auto"/>
          <w:spacing w:val="0"/>
          <w:sz w:val="32"/>
          <w:szCs w:val="32"/>
          <w:shd w:val="clear" w:color="auto" w:fill="auto"/>
        </w:rPr>
      </w:pPr>
      <w:r>
        <w:rPr>
          <w:rFonts w:hint="eastAsia" w:ascii="楷体" w:hAnsi="楷体" w:eastAsia="楷体" w:cs="楷体"/>
          <w:color w:val="auto"/>
          <w:spacing w:val="0"/>
          <w:sz w:val="32"/>
          <w:szCs w:val="32"/>
          <w:shd w:val="clear" w:color="auto" w:fill="auto"/>
          <w:lang w:eastAsia="zh-CN"/>
        </w:rPr>
        <w:t>（</w:t>
      </w:r>
      <w:r>
        <w:rPr>
          <w:rFonts w:hint="eastAsia" w:ascii="楷体" w:hAnsi="楷体" w:eastAsia="楷体" w:cs="楷体"/>
          <w:color w:val="auto"/>
          <w:spacing w:val="0"/>
          <w:sz w:val="32"/>
          <w:szCs w:val="32"/>
          <w:shd w:val="clear" w:color="auto" w:fill="auto"/>
          <w:lang w:val="en-US" w:eastAsia="zh-CN"/>
        </w:rPr>
        <w:t>二</w:t>
      </w:r>
      <w:r>
        <w:rPr>
          <w:rFonts w:hint="eastAsia" w:ascii="楷体" w:hAnsi="楷体" w:eastAsia="楷体" w:cs="楷体"/>
          <w:color w:val="auto"/>
          <w:spacing w:val="0"/>
          <w:sz w:val="32"/>
          <w:szCs w:val="32"/>
          <w:shd w:val="clear" w:color="auto" w:fill="auto"/>
          <w:lang w:eastAsia="zh-CN"/>
        </w:rPr>
        <w:t>）</w:t>
      </w:r>
      <w:r>
        <w:rPr>
          <w:rFonts w:hint="eastAsia" w:ascii="楷体" w:hAnsi="楷体" w:eastAsia="楷体" w:cs="楷体"/>
          <w:color w:val="auto"/>
          <w:spacing w:val="0"/>
          <w:sz w:val="32"/>
          <w:szCs w:val="32"/>
          <w:shd w:val="clear" w:color="auto" w:fill="auto"/>
        </w:rPr>
        <w:t>地面塌陷、地裂缝、地面沉降</w:t>
      </w:r>
    </w:p>
    <w:p w14:paraId="0ECD633A">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主要诱发因素是地下采矿。各煤矿区</w:t>
      </w:r>
      <w:r>
        <w:rPr>
          <w:rFonts w:hint="eastAsia" w:ascii="仿宋_GB2312" w:hAnsi="仿宋_GB2312" w:eastAsia="仿宋_GB2312" w:cs="仿宋_GB2312"/>
          <w:color w:val="auto"/>
          <w:spacing w:val="0"/>
          <w:sz w:val="32"/>
          <w:szCs w:val="32"/>
          <w:shd w:val="clear" w:color="auto" w:fill="auto"/>
          <w:lang w:val="en-US" w:eastAsia="zh-CN"/>
        </w:rPr>
        <w:t>均</w:t>
      </w:r>
      <w:r>
        <w:rPr>
          <w:rFonts w:hint="eastAsia" w:ascii="仿宋_GB2312" w:hAnsi="仿宋_GB2312" w:eastAsia="仿宋_GB2312" w:cs="仿宋_GB2312"/>
          <w:color w:val="auto"/>
          <w:spacing w:val="0"/>
          <w:sz w:val="32"/>
          <w:szCs w:val="32"/>
          <w:shd w:val="clear" w:color="auto" w:fill="auto"/>
        </w:rPr>
        <w:t>采用井工方式采矿，开采历史</w:t>
      </w:r>
      <w:r>
        <w:rPr>
          <w:rFonts w:hint="eastAsia" w:ascii="仿宋_GB2312" w:hAnsi="仿宋_GB2312" w:eastAsia="仿宋_GB2312" w:cs="仿宋_GB2312"/>
          <w:color w:val="auto"/>
          <w:spacing w:val="0"/>
          <w:sz w:val="32"/>
          <w:szCs w:val="32"/>
          <w:shd w:val="clear" w:color="auto" w:fill="auto"/>
          <w:lang w:val="en-US" w:eastAsia="zh-CN"/>
        </w:rPr>
        <w:t>悠久</w:t>
      </w:r>
      <w:r>
        <w:rPr>
          <w:rFonts w:hint="eastAsia" w:ascii="仿宋_GB2312" w:hAnsi="仿宋_GB2312" w:eastAsia="仿宋_GB2312" w:cs="仿宋_GB2312"/>
          <w:color w:val="auto"/>
          <w:spacing w:val="0"/>
          <w:sz w:val="32"/>
          <w:szCs w:val="32"/>
          <w:shd w:val="clear" w:color="auto" w:fill="auto"/>
        </w:rPr>
        <w:t>，采空区冒落后造成地面塌陷、地裂缝、地面沉降</w:t>
      </w:r>
      <w:r>
        <w:rPr>
          <w:rFonts w:hint="eastAsia" w:ascii="仿宋_GB2312" w:hAnsi="仿宋_GB2312" w:eastAsia="仿宋_GB2312" w:cs="仿宋_GB2312"/>
          <w:color w:val="auto"/>
          <w:spacing w:val="0"/>
          <w:sz w:val="32"/>
          <w:szCs w:val="32"/>
          <w:shd w:val="clear" w:color="auto" w:fill="auto"/>
          <w:lang w:val="en-US" w:eastAsia="zh-CN"/>
        </w:rPr>
        <w:t>灾害的发生</w:t>
      </w:r>
      <w:r>
        <w:rPr>
          <w:rFonts w:hint="eastAsia" w:ascii="仿宋_GB2312" w:hAnsi="仿宋_GB2312" w:eastAsia="仿宋_GB2312" w:cs="仿宋_GB2312"/>
          <w:color w:val="auto"/>
          <w:spacing w:val="0"/>
          <w:sz w:val="32"/>
          <w:szCs w:val="32"/>
          <w:shd w:val="clear" w:color="auto" w:fill="auto"/>
        </w:rPr>
        <w:t>。</w:t>
      </w:r>
      <w:r>
        <w:rPr>
          <w:rFonts w:hint="eastAsia" w:ascii="仿宋_GB2312" w:hAnsi="仿宋_GB2312" w:eastAsia="仿宋_GB2312" w:cs="仿宋_GB2312"/>
          <w:color w:val="auto"/>
          <w:spacing w:val="0"/>
          <w:sz w:val="32"/>
          <w:szCs w:val="32"/>
          <w:shd w:val="clear" w:color="auto" w:fill="auto"/>
          <w:lang w:val="en-US" w:eastAsia="zh-CN"/>
        </w:rPr>
        <w:t>以上地表形变灾害</w:t>
      </w:r>
      <w:r>
        <w:rPr>
          <w:rFonts w:hint="eastAsia" w:ascii="仿宋_GB2312" w:hAnsi="仿宋_GB2312" w:eastAsia="仿宋_GB2312" w:cs="仿宋_GB2312"/>
          <w:color w:val="auto"/>
          <w:spacing w:val="0"/>
          <w:sz w:val="32"/>
          <w:szCs w:val="32"/>
          <w:shd w:val="clear" w:color="auto" w:fill="auto"/>
        </w:rPr>
        <w:t>发生具有突然性，对误入采空区上方的人畜生命安全</w:t>
      </w:r>
      <w:r>
        <w:rPr>
          <w:rFonts w:hint="eastAsia" w:ascii="仿宋_GB2312" w:hAnsi="仿宋_GB2312" w:eastAsia="仿宋_GB2312" w:cs="仿宋_GB2312"/>
          <w:color w:val="auto"/>
          <w:spacing w:val="0"/>
          <w:sz w:val="32"/>
          <w:szCs w:val="32"/>
          <w:shd w:val="clear" w:color="auto" w:fill="auto"/>
          <w:lang w:val="en-US" w:eastAsia="zh-CN"/>
        </w:rPr>
        <w:t>造成威胁</w:t>
      </w:r>
      <w:r>
        <w:rPr>
          <w:rFonts w:hint="eastAsia" w:ascii="仿宋_GB2312" w:hAnsi="仿宋_GB2312" w:eastAsia="仿宋_GB2312" w:cs="仿宋_GB2312"/>
          <w:color w:val="auto"/>
          <w:spacing w:val="0"/>
          <w:sz w:val="32"/>
          <w:szCs w:val="32"/>
          <w:shd w:val="clear" w:color="auto" w:fill="auto"/>
        </w:rPr>
        <w:t>，地面塌陷、地裂缝的产生</w:t>
      </w:r>
      <w:r>
        <w:rPr>
          <w:rFonts w:hint="eastAsia" w:ascii="仿宋_GB2312" w:hAnsi="仿宋_GB2312" w:eastAsia="仿宋_GB2312" w:cs="仿宋_GB2312"/>
          <w:color w:val="auto"/>
          <w:spacing w:val="0"/>
          <w:sz w:val="32"/>
          <w:szCs w:val="32"/>
          <w:shd w:val="clear" w:color="auto" w:fill="auto"/>
          <w:lang w:val="en-US" w:eastAsia="zh-CN"/>
        </w:rPr>
        <w:t>亦</w:t>
      </w:r>
      <w:r>
        <w:rPr>
          <w:rFonts w:hint="eastAsia" w:ascii="仿宋_GB2312" w:hAnsi="仿宋_GB2312" w:eastAsia="仿宋_GB2312" w:cs="仿宋_GB2312"/>
          <w:color w:val="auto"/>
          <w:spacing w:val="0"/>
          <w:sz w:val="32"/>
          <w:szCs w:val="32"/>
          <w:shd w:val="clear" w:color="auto" w:fill="auto"/>
        </w:rPr>
        <w:t>危及附近村镇、工矿以及居民的居住安全。</w:t>
      </w:r>
    </w:p>
    <w:p w14:paraId="545242E4">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color w:val="auto"/>
          <w:spacing w:val="0"/>
          <w:sz w:val="32"/>
          <w:szCs w:val="32"/>
          <w:shd w:val="clear" w:color="auto" w:fill="auto"/>
        </w:rPr>
      </w:pPr>
      <w:r>
        <w:rPr>
          <w:rFonts w:hint="eastAsia" w:ascii="楷体" w:hAnsi="楷体" w:eastAsia="楷体" w:cs="楷体"/>
          <w:color w:val="auto"/>
          <w:spacing w:val="0"/>
          <w:sz w:val="32"/>
          <w:szCs w:val="32"/>
          <w:shd w:val="clear" w:color="auto" w:fill="auto"/>
          <w:lang w:eastAsia="zh-CN"/>
        </w:rPr>
        <w:t>（</w:t>
      </w:r>
      <w:r>
        <w:rPr>
          <w:rFonts w:hint="eastAsia" w:ascii="楷体" w:hAnsi="楷体" w:eastAsia="楷体" w:cs="楷体"/>
          <w:color w:val="auto"/>
          <w:spacing w:val="0"/>
          <w:sz w:val="32"/>
          <w:szCs w:val="32"/>
          <w:shd w:val="clear" w:color="auto" w:fill="auto"/>
          <w:lang w:val="en-US" w:eastAsia="zh-CN"/>
        </w:rPr>
        <w:t>三</w:t>
      </w:r>
      <w:r>
        <w:rPr>
          <w:rFonts w:hint="eastAsia" w:ascii="楷体" w:hAnsi="楷体" w:eastAsia="楷体" w:cs="楷体"/>
          <w:color w:val="auto"/>
          <w:spacing w:val="0"/>
          <w:sz w:val="32"/>
          <w:szCs w:val="32"/>
          <w:shd w:val="clear" w:color="auto" w:fill="auto"/>
          <w:lang w:eastAsia="zh-CN"/>
        </w:rPr>
        <w:t>）</w:t>
      </w:r>
      <w:r>
        <w:rPr>
          <w:rFonts w:hint="eastAsia" w:ascii="楷体" w:hAnsi="楷体" w:eastAsia="楷体" w:cs="楷体"/>
          <w:color w:val="auto"/>
          <w:spacing w:val="0"/>
          <w:sz w:val="32"/>
          <w:szCs w:val="32"/>
          <w:shd w:val="clear" w:color="auto" w:fill="auto"/>
        </w:rPr>
        <w:t>泥石流</w:t>
      </w:r>
    </w:p>
    <w:p w14:paraId="210A6E47">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lang w:val="en-US" w:eastAsia="zh-CN"/>
        </w:rPr>
        <w:t>主要发育于地形坡度较大的沟谷，其地形条件为泥石流的形成提供了良好的物质基础和运移通道。</w:t>
      </w:r>
      <w:r>
        <w:rPr>
          <w:rFonts w:hint="eastAsia" w:ascii="仿宋_GB2312" w:hAnsi="仿宋_GB2312" w:eastAsia="仿宋_GB2312" w:cs="仿宋_GB2312"/>
          <w:color w:val="auto"/>
          <w:spacing w:val="0"/>
          <w:sz w:val="32"/>
          <w:szCs w:val="32"/>
          <w:shd w:val="clear" w:color="auto" w:fill="auto"/>
        </w:rPr>
        <w:t>采矿</w:t>
      </w:r>
      <w:r>
        <w:rPr>
          <w:rFonts w:hint="eastAsia" w:ascii="仿宋_GB2312" w:hAnsi="仿宋_GB2312" w:eastAsia="仿宋_GB2312" w:cs="仿宋_GB2312"/>
          <w:color w:val="auto"/>
          <w:spacing w:val="0"/>
          <w:sz w:val="32"/>
          <w:szCs w:val="32"/>
          <w:shd w:val="clear" w:color="auto" w:fill="auto"/>
          <w:lang w:val="en-US" w:eastAsia="zh-CN"/>
        </w:rPr>
        <w:t>排放</w:t>
      </w:r>
      <w:r>
        <w:rPr>
          <w:rFonts w:hint="eastAsia" w:ascii="仿宋_GB2312" w:hAnsi="仿宋_GB2312" w:eastAsia="仿宋_GB2312" w:cs="仿宋_GB2312"/>
          <w:color w:val="auto"/>
          <w:spacing w:val="0"/>
          <w:sz w:val="32"/>
          <w:szCs w:val="32"/>
          <w:shd w:val="clear" w:color="auto" w:fill="auto"/>
        </w:rPr>
        <w:t>废矿碴、尾矿等松散堆积物</w:t>
      </w:r>
      <w:r>
        <w:rPr>
          <w:rFonts w:hint="eastAsia" w:ascii="仿宋_GB2312" w:hAnsi="仿宋_GB2312" w:eastAsia="仿宋_GB2312" w:cs="仿宋_GB2312"/>
          <w:color w:val="auto"/>
          <w:spacing w:val="0"/>
          <w:sz w:val="32"/>
          <w:szCs w:val="32"/>
          <w:shd w:val="clear" w:color="auto" w:fill="auto"/>
          <w:lang w:val="en-US" w:eastAsia="zh-CN"/>
        </w:rPr>
        <w:t>在短时强降雨和连续降雨自然条件下，水流速度快，容易携带大量的泥沙和石块，形成泥石流。泥石流规模均为小型，泥石流</w:t>
      </w:r>
      <w:r>
        <w:rPr>
          <w:rFonts w:hint="eastAsia" w:ascii="仿宋_GB2312" w:hAnsi="仿宋_GB2312" w:eastAsia="仿宋_GB2312" w:cs="仿宋_GB2312"/>
          <w:color w:val="auto"/>
          <w:spacing w:val="0"/>
          <w:sz w:val="32"/>
          <w:szCs w:val="32"/>
          <w:shd w:val="clear" w:color="auto" w:fill="auto"/>
        </w:rPr>
        <w:t>灾害的发生将直接危及泥石流流经路线的矿山、村庄、农田、道路</w:t>
      </w:r>
      <w:r>
        <w:rPr>
          <w:rFonts w:hint="eastAsia" w:ascii="仿宋_GB2312" w:hAnsi="仿宋_GB2312" w:eastAsia="仿宋_GB2312" w:cs="仿宋_GB2312"/>
          <w:color w:val="auto"/>
          <w:spacing w:val="0"/>
          <w:sz w:val="32"/>
          <w:szCs w:val="32"/>
          <w:shd w:val="clear" w:color="auto" w:fill="auto"/>
          <w:lang w:eastAsia="zh-CN"/>
        </w:rPr>
        <w:t>，</w:t>
      </w:r>
      <w:r>
        <w:rPr>
          <w:rFonts w:hint="eastAsia" w:ascii="仿宋_GB2312" w:hAnsi="仿宋_GB2312" w:eastAsia="仿宋_GB2312" w:cs="仿宋_GB2312"/>
          <w:color w:val="auto"/>
          <w:spacing w:val="0"/>
          <w:sz w:val="32"/>
          <w:szCs w:val="32"/>
          <w:shd w:val="clear" w:color="auto" w:fill="auto"/>
          <w:lang w:val="en-US" w:eastAsia="zh-CN"/>
        </w:rPr>
        <w:t>造成人员伤亡和财产损失。</w:t>
      </w:r>
    </w:p>
    <w:p w14:paraId="38098C6F">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color w:val="auto"/>
          <w:spacing w:val="0"/>
          <w:sz w:val="32"/>
          <w:szCs w:val="32"/>
          <w:shd w:val="clear" w:color="auto" w:fill="auto"/>
        </w:rPr>
      </w:pPr>
      <w:r>
        <w:rPr>
          <w:rFonts w:hint="eastAsia" w:ascii="楷体" w:hAnsi="楷体" w:eastAsia="楷体" w:cs="楷体"/>
          <w:color w:val="auto"/>
          <w:spacing w:val="0"/>
          <w:sz w:val="32"/>
          <w:szCs w:val="32"/>
          <w:shd w:val="clear" w:color="auto" w:fill="auto"/>
          <w:lang w:eastAsia="zh-CN"/>
        </w:rPr>
        <w:t>（</w:t>
      </w:r>
      <w:r>
        <w:rPr>
          <w:rFonts w:hint="eastAsia" w:ascii="楷体" w:hAnsi="楷体" w:eastAsia="楷体" w:cs="楷体"/>
          <w:color w:val="auto"/>
          <w:spacing w:val="0"/>
          <w:sz w:val="32"/>
          <w:szCs w:val="32"/>
          <w:shd w:val="clear" w:color="auto" w:fill="auto"/>
          <w:lang w:val="en-US" w:eastAsia="zh-CN"/>
        </w:rPr>
        <w:t>四</w:t>
      </w:r>
      <w:r>
        <w:rPr>
          <w:rFonts w:hint="eastAsia" w:ascii="楷体" w:hAnsi="楷体" w:eastAsia="楷体" w:cs="楷体"/>
          <w:color w:val="auto"/>
          <w:spacing w:val="0"/>
          <w:sz w:val="32"/>
          <w:szCs w:val="32"/>
          <w:shd w:val="clear" w:color="auto" w:fill="auto"/>
          <w:lang w:eastAsia="zh-CN"/>
        </w:rPr>
        <w:t>）</w:t>
      </w:r>
      <w:r>
        <w:rPr>
          <w:rFonts w:hint="eastAsia" w:ascii="楷体" w:hAnsi="楷体" w:eastAsia="楷体" w:cs="楷体"/>
          <w:color w:val="auto"/>
          <w:spacing w:val="0"/>
          <w:sz w:val="32"/>
          <w:szCs w:val="32"/>
          <w:shd w:val="clear" w:color="auto" w:fill="auto"/>
        </w:rPr>
        <w:t>地表水渗漏</w:t>
      </w:r>
    </w:p>
    <w:p w14:paraId="69FB0FC7">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主要诱发因素是地下采矿。地下采矿形成的地面塌陷，在汛期成了积水盆地，地表水沿地裂缝渗入地下，如地裂缝切断洪水流经区，会将洪水引入积水盆地，渗水通道被水流冲刷扩大时，形成地面溃水，对附近的矿井</w:t>
      </w:r>
      <w:r>
        <w:rPr>
          <w:rFonts w:hint="eastAsia" w:ascii="仿宋_GB2312" w:hAnsi="仿宋_GB2312" w:eastAsia="仿宋_GB2312" w:cs="仿宋_GB2312"/>
          <w:color w:val="auto"/>
          <w:spacing w:val="0"/>
          <w:sz w:val="32"/>
          <w:szCs w:val="32"/>
          <w:shd w:val="clear" w:color="auto" w:fill="auto"/>
          <w:lang w:val="en-US" w:eastAsia="zh-CN"/>
        </w:rPr>
        <w:t>造成</w:t>
      </w:r>
      <w:r>
        <w:rPr>
          <w:rFonts w:hint="eastAsia" w:ascii="仿宋_GB2312" w:hAnsi="仿宋_GB2312" w:eastAsia="仿宋_GB2312" w:cs="仿宋_GB2312"/>
          <w:color w:val="auto"/>
          <w:spacing w:val="0"/>
          <w:sz w:val="32"/>
          <w:szCs w:val="32"/>
          <w:shd w:val="clear" w:color="auto" w:fill="auto"/>
        </w:rPr>
        <w:t>威胁，危及井下人员的人身安全和井下财产安全。</w:t>
      </w:r>
    </w:p>
    <w:p w14:paraId="68479301">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color w:val="auto"/>
          <w:spacing w:val="0"/>
          <w:sz w:val="32"/>
          <w:szCs w:val="32"/>
          <w:shd w:val="clear" w:color="auto" w:fill="auto"/>
          <w:lang w:val="en-US" w:eastAsia="zh-CN"/>
        </w:rPr>
      </w:pPr>
      <w:r>
        <w:rPr>
          <w:rFonts w:hint="eastAsia" w:ascii="楷体" w:hAnsi="楷体" w:eastAsia="楷体" w:cs="楷体"/>
          <w:color w:val="auto"/>
          <w:spacing w:val="0"/>
          <w:sz w:val="32"/>
          <w:szCs w:val="32"/>
          <w:shd w:val="clear" w:color="auto" w:fill="auto"/>
          <w:lang w:val="en-US" w:eastAsia="zh-CN"/>
        </w:rPr>
        <w:t>（五）地下水干枯</w:t>
      </w:r>
    </w:p>
    <w:p w14:paraId="6362575F">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lang w:val="en-US" w:eastAsia="zh-CN"/>
        </w:rPr>
      </w:pPr>
      <w:r>
        <w:rPr>
          <w:rFonts w:hint="eastAsia" w:ascii="仿宋_GB2312" w:hAnsi="仿宋_GB2312" w:eastAsia="仿宋_GB2312" w:cs="仿宋_GB2312"/>
          <w:color w:val="auto"/>
          <w:spacing w:val="0"/>
          <w:sz w:val="32"/>
          <w:szCs w:val="32"/>
          <w:shd w:val="clear" w:color="auto" w:fill="auto"/>
          <w:lang w:val="en-US" w:eastAsia="zh-CN"/>
        </w:rPr>
        <w:t>主要诱发因素是矿山疏干地下水。采矿对地下水的疏干破坏了地下含水层结构，使地下水的补给、泾流和排泄失去了动态平衡。灾害的发生，使人们的生活、生产用水失去保障，生存环境、生态环境不断恶化。</w:t>
      </w:r>
    </w:p>
    <w:p w14:paraId="20B64CDD">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outlineLvl w:val="2"/>
        <w:rPr>
          <w:rFonts w:hint="eastAsia" w:ascii="黑体" w:hAnsi="黑体" w:eastAsia="黑体" w:cs="黑体"/>
          <w:b w:val="0"/>
          <w:bCs w:val="0"/>
          <w:color w:val="auto"/>
          <w:spacing w:val="0"/>
          <w:sz w:val="32"/>
          <w:szCs w:val="32"/>
          <w:shd w:val="clear" w:color="auto" w:fill="auto"/>
          <w:lang w:val="en-US" w:eastAsia="zh-CN"/>
        </w:rPr>
      </w:pPr>
      <w:r>
        <w:rPr>
          <w:rFonts w:hint="eastAsia" w:ascii="黑体" w:hAnsi="黑体" w:eastAsia="黑体" w:cs="黑体"/>
          <w:b w:val="0"/>
          <w:bCs w:val="0"/>
          <w:color w:val="auto"/>
          <w:spacing w:val="0"/>
          <w:sz w:val="32"/>
          <w:szCs w:val="32"/>
          <w:shd w:val="clear" w:color="auto" w:fill="auto"/>
          <w:lang w:val="en-US" w:eastAsia="zh-CN"/>
        </w:rPr>
        <w:t>四、2026年度地质灾害发展趋势预测</w:t>
      </w:r>
    </w:p>
    <w:p w14:paraId="126F4201">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lang w:eastAsia="zh-CN"/>
        </w:rPr>
      </w:pPr>
      <w:r>
        <w:rPr>
          <w:rFonts w:hint="eastAsia" w:ascii="仿宋_GB2312" w:hAnsi="仿宋_GB2312" w:eastAsia="仿宋_GB2312" w:cs="仿宋_GB2312"/>
          <w:color w:val="auto"/>
          <w:spacing w:val="0"/>
          <w:sz w:val="32"/>
          <w:szCs w:val="32"/>
          <w:highlight w:val="none"/>
          <w:shd w:val="clear" w:color="auto" w:fill="auto"/>
        </w:rPr>
        <w:t>在总结以往地质灾害发生特点的基础上，结合</w:t>
      </w:r>
      <w:r>
        <w:rPr>
          <w:rFonts w:hint="eastAsia" w:ascii="仿宋_GB2312" w:hAnsi="仿宋_GB2312" w:eastAsia="仿宋_GB2312" w:cs="仿宋_GB2312"/>
          <w:color w:val="auto"/>
          <w:spacing w:val="0"/>
          <w:sz w:val="32"/>
          <w:szCs w:val="32"/>
          <w:highlight w:val="none"/>
          <w:shd w:val="clear" w:color="auto" w:fill="auto"/>
          <w:lang w:val="en-US" w:eastAsia="zh-CN"/>
        </w:rPr>
        <w:t>我区</w:t>
      </w:r>
      <w:r>
        <w:rPr>
          <w:rFonts w:hint="eastAsia" w:ascii="仿宋_GB2312" w:hAnsi="仿宋_GB2312" w:eastAsia="仿宋_GB2312" w:cs="仿宋_GB2312"/>
          <w:color w:val="auto"/>
          <w:spacing w:val="0"/>
          <w:sz w:val="32"/>
          <w:szCs w:val="32"/>
          <w:highlight w:val="none"/>
          <w:shd w:val="clear" w:color="auto" w:fill="auto"/>
        </w:rPr>
        <w:t>地质背景条件分析，预测</w:t>
      </w:r>
      <w:r>
        <w:rPr>
          <w:rFonts w:hint="eastAsia" w:ascii="仿宋_GB2312" w:hAnsi="仿宋_GB2312" w:eastAsia="仿宋_GB2312" w:cs="仿宋_GB2312"/>
          <w:color w:val="auto"/>
          <w:spacing w:val="0"/>
          <w:sz w:val="32"/>
          <w:szCs w:val="32"/>
          <w:highlight w:val="none"/>
          <w:shd w:val="clear" w:color="auto" w:fill="auto"/>
          <w:lang w:val="en-US" w:eastAsia="zh-CN"/>
        </w:rPr>
        <w:t>2026年度</w:t>
      </w:r>
      <w:r>
        <w:rPr>
          <w:rFonts w:hint="eastAsia" w:ascii="仿宋_GB2312" w:hAnsi="仿宋_GB2312" w:eastAsia="仿宋_GB2312" w:cs="仿宋_GB2312"/>
          <w:color w:val="auto"/>
          <w:spacing w:val="0"/>
          <w:sz w:val="32"/>
          <w:szCs w:val="32"/>
          <w:highlight w:val="none"/>
          <w:shd w:val="clear" w:color="auto" w:fill="auto"/>
          <w:lang w:eastAsia="zh-CN"/>
        </w:rPr>
        <w:t>自然地质环境条件一般不会发生显著变化。因此，不合理的人类工程经济活动对自然环境所产生的影响，将在很大程度上决定未来地质灾害的发展趋势，预测元宝山区地质灾害发展趋势有如下特点：</w:t>
      </w:r>
    </w:p>
    <w:p w14:paraId="52D6303A">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color w:val="auto"/>
          <w:spacing w:val="0"/>
          <w:sz w:val="32"/>
          <w:szCs w:val="32"/>
          <w:highlight w:val="none"/>
          <w:shd w:val="clear" w:color="auto" w:fill="auto"/>
          <w:lang w:eastAsia="zh-CN"/>
        </w:rPr>
      </w:pPr>
      <w:r>
        <w:rPr>
          <w:rFonts w:hint="eastAsia" w:ascii="楷体" w:hAnsi="楷体" w:eastAsia="楷体" w:cs="楷体"/>
          <w:color w:val="auto"/>
          <w:spacing w:val="0"/>
          <w:sz w:val="32"/>
          <w:szCs w:val="32"/>
          <w:highlight w:val="none"/>
          <w:shd w:val="clear" w:color="auto" w:fill="auto"/>
          <w:lang w:eastAsia="zh-CN"/>
        </w:rPr>
        <w:t>（</w:t>
      </w:r>
      <w:r>
        <w:rPr>
          <w:rFonts w:hint="eastAsia" w:ascii="楷体" w:hAnsi="楷体" w:eastAsia="楷体" w:cs="楷体"/>
          <w:color w:val="auto"/>
          <w:spacing w:val="0"/>
          <w:sz w:val="32"/>
          <w:szCs w:val="32"/>
          <w:highlight w:val="none"/>
          <w:shd w:val="clear" w:color="auto" w:fill="auto"/>
          <w:lang w:val="en-US" w:eastAsia="zh-CN"/>
        </w:rPr>
        <w:t>一</w:t>
      </w:r>
      <w:r>
        <w:rPr>
          <w:rFonts w:hint="eastAsia" w:ascii="楷体" w:hAnsi="楷体" w:eastAsia="楷体" w:cs="楷体"/>
          <w:color w:val="auto"/>
          <w:spacing w:val="0"/>
          <w:sz w:val="32"/>
          <w:szCs w:val="32"/>
          <w:highlight w:val="none"/>
          <w:shd w:val="clear" w:color="auto" w:fill="auto"/>
          <w:lang w:eastAsia="zh-CN"/>
        </w:rPr>
        <w:t>）崩塌、滑坡、泥石流</w:t>
      </w:r>
    </w:p>
    <w:p w14:paraId="2EBF8DBE">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lang w:eastAsia="zh-CN"/>
        </w:rPr>
      </w:pPr>
      <w:r>
        <w:rPr>
          <w:rFonts w:hint="eastAsia" w:ascii="仿宋_GB2312" w:hAnsi="仿宋_GB2312" w:eastAsia="仿宋_GB2312" w:cs="仿宋_GB2312"/>
          <w:color w:val="auto"/>
          <w:spacing w:val="0"/>
          <w:sz w:val="32"/>
          <w:szCs w:val="32"/>
          <w:highlight w:val="none"/>
          <w:shd w:val="clear" w:color="auto" w:fill="auto"/>
          <w:lang w:eastAsia="zh-CN"/>
        </w:rPr>
        <w:t>1</w:t>
      </w:r>
      <w:r>
        <w:rPr>
          <w:rFonts w:hint="eastAsia" w:ascii="仿宋_GB2312" w:hAnsi="仿宋_GB2312" w:eastAsia="仿宋_GB2312" w:cs="仿宋_GB2312"/>
          <w:color w:val="auto"/>
          <w:spacing w:val="0"/>
          <w:sz w:val="32"/>
          <w:szCs w:val="32"/>
          <w:highlight w:val="none"/>
          <w:shd w:val="clear" w:color="auto" w:fill="auto"/>
          <w:lang w:val="en-US" w:eastAsia="zh-CN"/>
        </w:rPr>
        <w:t>.</w:t>
      </w:r>
      <w:r>
        <w:rPr>
          <w:rFonts w:hint="eastAsia" w:ascii="仿宋_GB2312" w:hAnsi="仿宋_GB2312" w:eastAsia="仿宋_GB2312" w:cs="仿宋_GB2312"/>
          <w:color w:val="auto"/>
          <w:spacing w:val="0"/>
          <w:sz w:val="32"/>
          <w:szCs w:val="32"/>
          <w:highlight w:val="none"/>
          <w:shd w:val="clear" w:color="auto" w:fill="auto"/>
          <w:lang w:eastAsia="zh-CN"/>
        </w:rPr>
        <w:t>元宝山区位于华北地台北缘，内蒙古地轴东段，处于阴山东西向构造带与大兴安岭北东向构造带交汇部位，地质构造复杂，区域断层较为发育。在构造断层与节理发育区域，通过风化作用，导致岩体表面破碎，易形成崩塌灾害；同时，在岩土体内部，断层、节理面和岩层层理面易成为滑坡体的控制结构面，在外力推动下，易形成滑坡地质灾害。</w:t>
      </w:r>
    </w:p>
    <w:p w14:paraId="4C0C2870">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lang w:eastAsia="zh-CN"/>
        </w:rPr>
      </w:pPr>
      <w:r>
        <w:rPr>
          <w:rFonts w:hint="eastAsia" w:ascii="仿宋_GB2312" w:hAnsi="仿宋_GB2312" w:eastAsia="仿宋_GB2312" w:cs="仿宋_GB2312"/>
          <w:color w:val="auto"/>
          <w:spacing w:val="0"/>
          <w:sz w:val="32"/>
          <w:szCs w:val="32"/>
          <w:highlight w:val="none"/>
          <w:shd w:val="clear" w:color="auto" w:fill="auto"/>
          <w:lang w:eastAsia="zh-CN"/>
        </w:rPr>
        <w:t>2</w:t>
      </w:r>
      <w:r>
        <w:rPr>
          <w:rFonts w:hint="eastAsia" w:ascii="仿宋_GB2312" w:hAnsi="仿宋_GB2312" w:eastAsia="仿宋_GB2312" w:cs="仿宋_GB2312"/>
          <w:color w:val="auto"/>
          <w:spacing w:val="0"/>
          <w:sz w:val="32"/>
          <w:szCs w:val="32"/>
          <w:highlight w:val="none"/>
          <w:shd w:val="clear" w:color="auto" w:fill="auto"/>
          <w:lang w:val="en-US" w:eastAsia="zh-CN"/>
        </w:rPr>
        <w:t>.</w:t>
      </w:r>
      <w:r>
        <w:rPr>
          <w:rFonts w:hint="eastAsia" w:ascii="仿宋_GB2312" w:hAnsi="仿宋_GB2312" w:eastAsia="仿宋_GB2312" w:cs="仿宋_GB2312"/>
          <w:color w:val="auto"/>
          <w:spacing w:val="0"/>
          <w:sz w:val="32"/>
          <w:szCs w:val="32"/>
          <w:highlight w:val="none"/>
          <w:shd w:val="clear" w:color="auto" w:fill="auto"/>
          <w:lang w:eastAsia="zh-CN"/>
        </w:rPr>
        <w:t>元宝山区地形地貌起伏变化较大，低中山及沟谷区占规划区面积的大部分，为崩塌、滑坡、泥石流等灾害的发生提供了地形条件和物质条件。</w:t>
      </w:r>
    </w:p>
    <w:p w14:paraId="497EFFD1">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lang w:eastAsia="zh-CN"/>
        </w:rPr>
      </w:pPr>
      <w:r>
        <w:rPr>
          <w:rFonts w:hint="eastAsia" w:ascii="仿宋_GB2312" w:hAnsi="仿宋_GB2312" w:eastAsia="仿宋_GB2312" w:cs="仿宋_GB2312"/>
          <w:color w:val="auto"/>
          <w:spacing w:val="0"/>
          <w:sz w:val="32"/>
          <w:szCs w:val="32"/>
          <w:highlight w:val="none"/>
          <w:shd w:val="clear" w:color="auto" w:fill="auto"/>
          <w:lang w:eastAsia="zh-CN"/>
        </w:rPr>
        <w:t>3</w:t>
      </w:r>
      <w:r>
        <w:rPr>
          <w:rFonts w:hint="eastAsia" w:ascii="仿宋_GB2312" w:hAnsi="仿宋_GB2312" w:eastAsia="仿宋_GB2312" w:cs="仿宋_GB2312"/>
          <w:color w:val="auto"/>
          <w:spacing w:val="0"/>
          <w:sz w:val="32"/>
          <w:szCs w:val="32"/>
          <w:highlight w:val="none"/>
          <w:shd w:val="clear" w:color="auto" w:fill="auto"/>
          <w:lang w:val="en-US" w:eastAsia="zh-CN"/>
        </w:rPr>
        <w:t>.</w:t>
      </w:r>
      <w:r>
        <w:rPr>
          <w:rFonts w:hint="eastAsia" w:ascii="仿宋_GB2312" w:hAnsi="仿宋_GB2312" w:eastAsia="仿宋_GB2312" w:cs="仿宋_GB2312"/>
          <w:color w:val="auto"/>
          <w:spacing w:val="0"/>
          <w:sz w:val="32"/>
          <w:szCs w:val="32"/>
          <w:highlight w:val="none"/>
          <w:shd w:val="clear" w:color="auto" w:fill="auto"/>
          <w:lang w:eastAsia="zh-CN"/>
        </w:rPr>
        <w:t>气象因素是地质灾害发生的催化剂，据气象部门预测，本世纪前期，极端气候事件增多，在连续强降雨的诱发下，岩土体吸水饱和，增加自身重量，在引力等外力作用下，岩土体极易从母体剥离发生崩塌、滑坡或者坍塌，从而造成地质灾害的发生。在规划期内，强降雨过程引发的崩塌、滑坡和泥石流等灾害将加剧。</w:t>
      </w:r>
    </w:p>
    <w:p w14:paraId="6207D46C">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lang w:eastAsia="zh-CN"/>
        </w:rPr>
      </w:pPr>
      <w:r>
        <w:rPr>
          <w:rFonts w:hint="eastAsia" w:ascii="仿宋_GB2312" w:hAnsi="仿宋_GB2312" w:eastAsia="仿宋_GB2312" w:cs="仿宋_GB2312"/>
          <w:color w:val="auto"/>
          <w:spacing w:val="0"/>
          <w:sz w:val="32"/>
          <w:szCs w:val="32"/>
          <w:highlight w:val="none"/>
          <w:shd w:val="clear" w:color="auto" w:fill="auto"/>
          <w:lang w:eastAsia="zh-CN"/>
        </w:rPr>
        <w:t>4</w:t>
      </w:r>
      <w:r>
        <w:rPr>
          <w:rFonts w:hint="eastAsia" w:ascii="仿宋_GB2312" w:hAnsi="仿宋_GB2312" w:eastAsia="仿宋_GB2312" w:cs="仿宋_GB2312"/>
          <w:color w:val="auto"/>
          <w:spacing w:val="0"/>
          <w:sz w:val="32"/>
          <w:szCs w:val="32"/>
          <w:highlight w:val="none"/>
          <w:shd w:val="clear" w:color="auto" w:fill="auto"/>
          <w:lang w:val="en-US" w:eastAsia="zh-CN"/>
        </w:rPr>
        <w:t>.</w:t>
      </w:r>
      <w:r>
        <w:rPr>
          <w:rFonts w:hint="eastAsia" w:ascii="仿宋_GB2312" w:hAnsi="仿宋_GB2312" w:eastAsia="仿宋_GB2312" w:cs="仿宋_GB2312"/>
          <w:color w:val="auto"/>
          <w:spacing w:val="0"/>
          <w:sz w:val="32"/>
          <w:szCs w:val="32"/>
          <w:highlight w:val="none"/>
          <w:shd w:val="clear" w:color="auto" w:fill="auto"/>
          <w:lang w:eastAsia="zh-CN"/>
        </w:rPr>
        <w:t>随着经济增长，能源和原材料的需求不断增加，矿业活动将更加频繁，人类工程活动对地质环境的影响将持续增强，会引发和加剧地质灾害的发生。如劈山修路、切坡建房等。</w:t>
      </w:r>
    </w:p>
    <w:p w14:paraId="6EAAC700">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color w:val="auto"/>
          <w:spacing w:val="0"/>
          <w:sz w:val="32"/>
          <w:szCs w:val="32"/>
          <w:highlight w:val="none"/>
          <w:shd w:val="clear" w:color="auto" w:fill="auto"/>
          <w:lang w:eastAsia="zh-CN"/>
        </w:rPr>
      </w:pPr>
      <w:r>
        <w:rPr>
          <w:rFonts w:hint="eastAsia" w:ascii="楷体" w:hAnsi="楷体" w:eastAsia="楷体" w:cs="楷体"/>
          <w:color w:val="auto"/>
          <w:spacing w:val="0"/>
          <w:sz w:val="32"/>
          <w:szCs w:val="32"/>
          <w:highlight w:val="none"/>
          <w:shd w:val="clear" w:color="auto" w:fill="auto"/>
          <w:lang w:eastAsia="zh-CN"/>
        </w:rPr>
        <w:t>（</w:t>
      </w:r>
      <w:r>
        <w:rPr>
          <w:rFonts w:hint="eastAsia" w:ascii="楷体" w:hAnsi="楷体" w:eastAsia="楷体" w:cs="楷体"/>
          <w:color w:val="auto"/>
          <w:spacing w:val="0"/>
          <w:sz w:val="32"/>
          <w:szCs w:val="32"/>
          <w:highlight w:val="none"/>
          <w:shd w:val="clear" w:color="auto" w:fill="auto"/>
          <w:lang w:val="en-US" w:eastAsia="zh-CN"/>
        </w:rPr>
        <w:t>二</w:t>
      </w:r>
      <w:r>
        <w:rPr>
          <w:rFonts w:hint="eastAsia" w:ascii="楷体" w:hAnsi="楷体" w:eastAsia="楷体" w:cs="楷体"/>
          <w:color w:val="auto"/>
          <w:spacing w:val="0"/>
          <w:sz w:val="32"/>
          <w:szCs w:val="32"/>
          <w:highlight w:val="none"/>
          <w:shd w:val="clear" w:color="auto" w:fill="auto"/>
          <w:lang w:eastAsia="zh-CN"/>
        </w:rPr>
        <w:t>）地面塌陷</w:t>
      </w:r>
    </w:p>
    <w:p w14:paraId="4DA5E265">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lang w:eastAsia="zh-CN"/>
        </w:rPr>
      </w:pPr>
      <w:r>
        <w:rPr>
          <w:rFonts w:hint="eastAsia" w:ascii="仿宋_GB2312" w:hAnsi="仿宋_GB2312" w:eastAsia="仿宋_GB2312" w:cs="仿宋_GB2312"/>
          <w:color w:val="auto"/>
          <w:spacing w:val="0"/>
          <w:sz w:val="32"/>
          <w:szCs w:val="32"/>
          <w:highlight w:val="none"/>
          <w:shd w:val="clear" w:color="auto" w:fill="auto"/>
          <w:lang w:eastAsia="zh-CN"/>
        </w:rPr>
        <w:t>矿山地下开采形成的采空区导致的地面塌陷对人民群众的生命财产安全产生较大威胁，随着产业政策的调整，矿山将采用采空区充填的采矿方法进行采矿，预测地面塌陷的发展趋势将会减缓。而对于一些老矿区的地面塌陷，采取工程与非工程相结合的防治措施，将使灾害发展趋势得到遏制，最终得到有效的治理。</w:t>
      </w:r>
    </w:p>
    <w:p w14:paraId="71F5D9DE">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lang w:eastAsia="zh-CN"/>
        </w:rPr>
      </w:pPr>
      <w:r>
        <w:rPr>
          <w:rFonts w:hint="eastAsia" w:ascii="仿宋_GB2312" w:hAnsi="仿宋_GB2312" w:eastAsia="仿宋_GB2312" w:cs="仿宋_GB2312"/>
          <w:color w:val="auto"/>
          <w:spacing w:val="0"/>
          <w:sz w:val="32"/>
          <w:szCs w:val="32"/>
          <w:highlight w:val="none"/>
          <w:shd w:val="clear" w:color="auto" w:fill="auto"/>
          <w:lang w:eastAsia="zh-CN"/>
        </w:rPr>
        <w:t>总之，在规划期内，随着经济建设的快速发展与工程经济活动强度的加剧，人类的工程活动将成为诱发地质灾害的主要因素，但随着近年政府、企业和人们对自然环境的重视，在生产生活过程中采取生产与治理相结合，大大减少了地质灾害隐患的形成；并且对历史上形成的灾害隐患正逐步进行治理，预测地质灾害发展趋势在自然条件不发生显著变化的情况山，整体上不会显著加剧。</w:t>
      </w:r>
    </w:p>
    <w:p w14:paraId="68ABCB69">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outlineLvl w:val="2"/>
        <w:rPr>
          <w:rFonts w:hint="eastAsia" w:ascii="仿宋_GB2312" w:hAnsi="仿宋_GB2312" w:eastAsia="仿宋_GB2312" w:cs="仿宋_GB2312"/>
          <w:b/>
          <w:bCs/>
          <w:color w:val="auto"/>
          <w:spacing w:val="0"/>
          <w:sz w:val="32"/>
          <w:szCs w:val="32"/>
          <w:highlight w:val="none"/>
          <w:shd w:val="clear" w:color="auto" w:fill="auto"/>
        </w:rPr>
      </w:pPr>
      <w:r>
        <w:rPr>
          <w:rFonts w:hint="eastAsia" w:ascii="黑体" w:hAnsi="黑体" w:eastAsia="黑体" w:cs="黑体"/>
          <w:b w:val="0"/>
          <w:bCs w:val="0"/>
          <w:color w:val="auto"/>
          <w:spacing w:val="0"/>
          <w:sz w:val="32"/>
          <w:szCs w:val="32"/>
          <w:highlight w:val="none"/>
          <w:shd w:val="clear" w:color="auto" w:fill="auto"/>
          <w:lang w:val="en-US" w:eastAsia="zh-CN"/>
        </w:rPr>
        <w:t>五</w:t>
      </w:r>
      <w:r>
        <w:rPr>
          <w:rFonts w:hint="eastAsia" w:ascii="黑体" w:hAnsi="黑体" w:eastAsia="黑体" w:cs="黑体"/>
          <w:b w:val="0"/>
          <w:bCs w:val="0"/>
          <w:color w:val="auto"/>
          <w:spacing w:val="0"/>
          <w:sz w:val="32"/>
          <w:szCs w:val="32"/>
          <w:highlight w:val="none"/>
          <w:shd w:val="clear" w:color="auto" w:fill="auto"/>
        </w:rPr>
        <w:t>、地质灾害防灾预灾重点地段及责任单位</w:t>
      </w:r>
    </w:p>
    <w:p w14:paraId="5093E396">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按我区地质灾害的类型，监测、预防的重点地段及相关责任单位划分为：</w:t>
      </w:r>
    </w:p>
    <w:p w14:paraId="4FB32446">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b w:val="0"/>
          <w:bCs w:val="0"/>
          <w:color w:val="auto"/>
          <w:spacing w:val="0"/>
          <w:sz w:val="32"/>
          <w:szCs w:val="32"/>
          <w:highlight w:val="none"/>
          <w:shd w:val="clear" w:color="auto" w:fill="auto"/>
        </w:rPr>
      </w:pPr>
      <w:r>
        <w:rPr>
          <w:rFonts w:hint="eastAsia" w:ascii="楷体" w:hAnsi="楷体" w:eastAsia="楷体" w:cs="楷体"/>
          <w:b w:val="0"/>
          <w:bCs w:val="0"/>
          <w:color w:val="auto"/>
          <w:spacing w:val="0"/>
          <w:sz w:val="32"/>
          <w:szCs w:val="32"/>
          <w:highlight w:val="none"/>
          <w:shd w:val="clear" w:color="auto" w:fill="auto"/>
          <w:lang w:eastAsia="zh-CN"/>
        </w:rPr>
        <w:t>（</w:t>
      </w:r>
      <w:r>
        <w:rPr>
          <w:rFonts w:hint="eastAsia" w:ascii="楷体" w:hAnsi="楷体" w:eastAsia="楷体" w:cs="楷体"/>
          <w:b w:val="0"/>
          <w:bCs w:val="0"/>
          <w:color w:val="auto"/>
          <w:spacing w:val="0"/>
          <w:sz w:val="32"/>
          <w:szCs w:val="32"/>
          <w:highlight w:val="none"/>
          <w:shd w:val="clear" w:color="auto" w:fill="auto"/>
          <w:lang w:val="en-US" w:eastAsia="zh-CN"/>
        </w:rPr>
        <w:t>一</w:t>
      </w:r>
      <w:r>
        <w:rPr>
          <w:rFonts w:hint="eastAsia" w:ascii="楷体" w:hAnsi="楷体" w:eastAsia="楷体" w:cs="楷体"/>
          <w:b w:val="0"/>
          <w:bCs w:val="0"/>
          <w:color w:val="auto"/>
          <w:spacing w:val="0"/>
          <w:sz w:val="32"/>
          <w:szCs w:val="32"/>
          <w:highlight w:val="none"/>
          <w:shd w:val="clear" w:color="auto" w:fill="auto"/>
          <w:lang w:eastAsia="zh-CN"/>
        </w:rPr>
        <w:t>）</w:t>
      </w:r>
      <w:r>
        <w:rPr>
          <w:rFonts w:hint="eastAsia" w:ascii="楷体" w:hAnsi="楷体" w:eastAsia="楷体" w:cs="楷体"/>
          <w:b w:val="0"/>
          <w:bCs w:val="0"/>
          <w:color w:val="auto"/>
          <w:spacing w:val="0"/>
          <w:sz w:val="32"/>
          <w:szCs w:val="32"/>
          <w:highlight w:val="none"/>
          <w:shd w:val="clear" w:color="auto" w:fill="auto"/>
        </w:rPr>
        <w:t>崩塌、滑坡</w:t>
      </w:r>
    </w:p>
    <w:p w14:paraId="148609E0">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重要地段：</w:t>
      </w:r>
    </w:p>
    <w:p w14:paraId="39180023">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1</w:t>
      </w:r>
      <w:r>
        <w:rPr>
          <w:rFonts w:hint="eastAsia" w:ascii="仿宋_GB2312" w:hAnsi="仿宋_GB2312" w:eastAsia="仿宋_GB2312" w:cs="仿宋_GB2312"/>
          <w:color w:val="auto"/>
          <w:spacing w:val="0"/>
          <w:sz w:val="32"/>
          <w:szCs w:val="32"/>
          <w:highlight w:val="none"/>
          <w:shd w:val="clear" w:color="auto" w:fill="auto"/>
          <w:lang w:val="en-US" w:eastAsia="zh-CN"/>
        </w:rPr>
        <w:t>.</w:t>
      </w:r>
      <w:r>
        <w:rPr>
          <w:rFonts w:hint="eastAsia" w:ascii="仿宋_GB2312" w:hAnsi="仿宋_GB2312" w:eastAsia="仿宋_GB2312" w:cs="仿宋_GB2312"/>
          <w:color w:val="auto"/>
          <w:spacing w:val="0"/>
          <w:sz w:val="32"/>
          <w:szCs w:val="32"/>
          <w:highlight w:val="none"/>
          <w:shd w:val="clear" w:color="auto" w:fill="auto"/>
        </w:rPr>
        <w:t>西露天煤矿采坑边帮滑坡</w:t>
      </w:r>
    </w:p>
    <w:p w14:paraId="04206750">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责任单位：平煤公司、西露天煤矿、平庄镇政府、五家镇政府</w:t>
      </w:r>
    </w:p>
    <w:p w14:paraId="674CAD0F">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2</w:t>
      </w:r>
      <w:r>
        <w:rPr>
          <w:rFonts w:hint="eastAsia" w:ascii="仿宋_GB2312" w:hAnsi="仿宋_GB2312" w:eastAsia="仿宋_GB2312" w:cs="仿宋_GB2312"/>
          <w:color w:val="auto"/>
          <w:spacing w:val="0"/>
          <w:sz w:val="32"/>
          <w:szCs w:val="32"/>
          <w:highlight w:val="none"/>
          <w:shd w:val="clear" w:color="auto" w:fill="auto"/>
          <w:lang w:val="en-US" w:eastAsia="zh-CN"/>
        </w:rPr>
        <w:t>.</w:t>
      </w:r>
      <w:r>
        <w:rPr>
          <w:rFonts w:hint="eastAsia" w:ascii="仿宋_GB2312" w:hAnsi="仿宋_GB2312" w:eastAsia="仿宋_GB2312" w:cs="仿宋_GB2312"/>
          <w:color w:val="auto"/>
          <w:spacing w:val="0"/>
          <w:sz w:val="32"/>
          <w:szCs w:val="32"/>
          <w:highlight w:val="none"/>
          <w:shd w:val="clear" w:color="auto" w:fill="auto"/>
        </w:rPr>
        <w:t>元宝山露天煤矿采坑边帮、排土场滑坡</w:t>
      </w:r>
    </w:p>
    <w:p w14:paraId="1D4C6DF2">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责任单位：平煤公司、元宝山露天煤矿、元宝山镇政府、南荒村村委会、四合村村委会、长胜村村委会</w:t>
      </w:r>
    </w:p>
    <w:p w14:paraId="197AF815">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3</w:t>
      </w:r>
      <w:r>
        <w:rPr>
          <w:rFonts w:hint="eastAsia" w:ascii="仿宋_GB2312" w:hAnsi="仿宋_GB2312" w:eastAsia="仿宋_GB2312" w:cs="仿宋_GB2312"/>
          <w:color w:val="auto"/>
          <w:spacing w:val="0"/>
          <w:sz w:val="32"/>
          <w:szCs w:val="32"/>
          <w:highlight w:val="none"/>
          <w:shd w:val="clear" w:color="auto" w:fill="auto"/>
          <w:lang w:val="en-US" w:eastAsia="zh-CN"/>
        </w:rPr>
        <w:t>.</w:t>
      </w:r>
      <w:r>
        <w:rPr>
          <w:rFonts w:hint="eastAsia" w:ascii="仿宋_GB2312" w:hAnsi="仿宋_GB2312" w:eastAsia="仿宋_GB2312" w:cs="仿宋_GB2312"/>
          <w:color w:val="auto"/>
          <w:spacing w:val="0"/>
          <w:sz w:val="32"/>
          <w:szCs w:val="32"/>
          <w:highlight w:val="none"/>
          <w:shd w:val="clear" w:color="auto" w:fill="auto"/>
        </w:rPr>
        <w:t>元宝山镇大塔卜勿苏村西部各山洪冲沟责任单位：元宝山镇政府</w:t>
      </w:r>
    </w:p>
    <w:p w14:paraId="7BA4DCC6">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4</w:t>
      </w:r>
      <w:r>
        <w:rPr>
          <w:rFonts w:hint="eastAsia" w:ascii="仿宋_GB2312" w:hAnsi="仿宋_GB2312" w:eastAsia="仿宋_GB2312" w:cs="仿宋_GB2312"/>
          <w:color w:val="auto"/>
          <w:spacing w:val="0"/>
          <w:sz w:val="32"/>
          <w:szCs w:val="32"/>
          <w:highlight w:val="none"/>
          <w:shd w:val="clear" w:color="auto" w:fill="auto"/>
          <w:lang w:val="en-US" w:eastAsia="zh-CN"/>
        </w:rPr>
        <w:t>.</w:t>
      </w:r>
      <w:r>
        <w:rPr>
          <w:rFonts w:hint="eastAsia" w:ascii="仿宋_GB2312" w:hAnsi="仿宋_GB2312" w:eastAsia="仿宋_GB2312" w:cs="仿宋_GB2312"/>
          <w:color w:val="auto"/>
          <w:spacing w:val="0"/>
          <w:sz w:val="32"/>
          <w:szCs w:val="32"/>
          <w:highlight w:val="none"/>
          <w:shd w:val="clear" w:color="auto" w:fill="auto"/>
        </w:rPr>
        <w:t>元宝山区内各采石点</w:t>
      </w:r>
    </w:p>
    <w:p w14:paraId="175A14A6">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责任单位：采石点所在地各乡镇人民政府</w:t>
      </w:r>
    </w:p>
    <w:p w14:paraId="3C1BD70E">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5</w:t>
      </w:r>
      <w:r>
        <w:rPr>
          <w:rFonts w:hint="eastAsia" w:ascii="仿宋_GB2312" w:hAnsi="仿宋_GB2312" w:eastAsia="仿宋_GB2312" w:cs="仿宋_GB2312"/>
          <w:color w:val="auto"/>
          <w:spacing w:val="0"/>
          <w:sz w:val="32"/>
          <w:szCs w:val="32"/>
          <w:highlight w:val="none"/>
          <w:shd w:val="clear" w:color="auto" w:fill="auto"/>
          <w:lang w:val="en-US" w:eastAsia="zh-CN"/>
        </w:rPr>
        <w:t>.</w:t>
      </w:r>
      <w:r>
        <w:rPr>
          <w:rFonts w:hint="eastAsia" w:ascii="仿宋_GB2312" w:hAnsi="仿宋_GB2312" w:eastAsia="仿宋_GB2312" w:cs="仿宋_GB2312"/>
          <w:color w:val="auto"/>
          <w:spacing w:val="0"/>
          <w:sz w:val="32"/>
          <w:szCs w:val="32"/>
          <w:highlight w:val="none"/>
          <w:shd w:val="clear" w:color="auto" w:fill="auto"/>
        </w:rPr>
        <w:t>平庄镇毛家村砖厂、毛家二砖厂附近主要公路边帮</w:t>
      </w:r>
    </w:p>
    <w:p w14:paraId="4624CDF4">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责任单位：平庄镇政府、毛家村村委会、毛家村砖厂、毛家二砖厂</w:t>
      </w:r>
    </w:p>
    <w:p w14:paraId="658FACB3">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6</w:t>
      </w:r>
      <w:r>
        <w:rPr>
          <w:rFonts w:hint="eastAsia" w:ascii="仿宋_GB2312" w:hAnsi="仿宋_GB2312" w:eastAsia="仿宋_GB2312" w:cs="仿宋_GB2312"/>
          <w:color w:val="auto"/>
          <w:spacing w:val="0"/>
          <w:sz w:val="32"/>
          <w:szCs w:val="32"/>
          <w:highlight w:val="none"/>
          <w:shd w:val="clear" w:color="auto" w:fill="auto"/>
          <w:lang w:val="en-US" w:eastAsia="zh-CN"/>
        </w:rPr>
        <w:t>.</w:t>
      </w:r>
      <w:r>
        <w:rPr>
          <w:rFonts w:hint="eastAsia" w:ascii="仿宋_GB2312" w:hAnsi="仿宋_GB2312" w:eastAsia="仿宋_GB2312" w:cs="仿宋_GB2312"/>
          <w:color w:val="auto"/>
          <w:spacing w:val="0"/>
          <w:sz w:val="32"/>
          <w:szCs w:val="32"/>
          <w:highlight w:val="none"/>
          <w:shd w:val="clear" w:color="auto" w:fill="auto"/>
        </w:rPr>
        <w:t>全区煤田灭火工程和采空区治理工程施工的采剥坑边帮及其排土场滑坡</w:t>
      </w:r>
    </w:p>
    <w:p w14:paraId="675F0862">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责任单位：区应急局、灭火工程和采空区治理工程所在地各乡镇人民政府及相关村委会、各合同施工单位</w:t>
      </w:r>
    </w:p>
    <w:p w14:paraId="2103504F">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7</w:t>
      </w:r>
      <w:r>
        <w:rPr>
          <w:rFonts w:hint="eastAsia" w:ascii="仿宋_GB2312" w:hAnsi="仿宋_GB2312" w:eastAsia="仿宋_GB2312" w:cs="仿宋_GB2312"/>
          <w:color w:val="auto"/>
          <w:spacing w:val="0"/>
          <w:sz w:val="32"/>
          <w:szCs w:val="32"/>
          <w:highlight w:val="none"/>
          <w:shd w:val="clear" w:color="auto" w:fill="auto"/>
          <w:lang w:val="en-US" w:eastAsia="zh-CN"/>
        </w:rPr>
        <w:t>.</w:t>
      </w:r>
      <w:r>
        <w:rPr>
          <w:rFonts w:hint="eastAsia" w:ascii="仿宋_GB2312" w:hAnsi="仿宋_GB2312" w:eastAsia="仿宋_GB2312" w:cs="仿宋_GB2312"/>
          <w:color w:val="auto"/>
          <w:spacing w:val="0"/>
          <w:sz w:val="32"/>
          <w:szCs w:val="32"/>
          <w:highlight w:val="none"/>
          <w:shd w:val="clear" w:color="auto" w:fill="auto"/>
        </w:rPr>
        <w:t>炭质泥岩采矿引起的滑坡</w:t>
      </w:r>
    </w:p>
    <w:p w14:paraId="57CBB2AB">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highlight w:val="none"/>
          <w:shd w:val="clear" w:color="auto" w:fill="auto"/>
        </w:rPr>
      </w:pPr>
      <w:r>
        <w:rPr>
          <w:rFonts w:hint="eastAsia" w:ascii="仿宋_GB2312" w:hAnsi="仿宋_GB2312" w:eastAsia="仿宋_GB2312" w:cs="仿宋_GB2312"/>
          <w:color w:val="auto"/>
          <w:spacing w:val="0"/>
          <w:sz w:val="32"/>
          <w:szCs w:val="32"/>
          <w:highlight w:val="none"/>
          <w:shd w:val="clear" w:color="auto" w:fill="auto"/>
        </w:rPr>
        <w:t>责任单位：平庄镇政府、五家镇政府、赤峰全盛炭质泥岩有限公司、赤峰嘉润炭质泥岩有限责任公司</w:t>
      </w:r>
    </w:p>
    <w:p w14:paraId="6F72B1AA">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b w:val="0"/>
          <w:bCs w:val="0"/>
          <w:color w:val="auto"/>
          <w:spacing w:val="0"/>
          <w:sz w:val="32"/>
          <w:szCs w:val="32"/>
          <w:highlight w:val="none"/>
          <w:shd w:val="clear" w:color="auto" w:fill="auto"/>
          <w:lang w:eastAsia="zh-CN"/>
        </w:rPr>
      </w:pPr>
      <w:r>
        <w:rPr>
          <w:rFonts w:hint="eastAsia" w:ascii="楷体" w:hAnsi="楷体" w:eastAsia="楷体" w:cs="楷体"/>
          <w:b w:val="0"/>
          <w:bCs w:val="0"/>
          <w:color w:val="auto"/>
          <w:spacing w:val="0"/>
          <w:sz w:val="32"/>
          <w:szCs w:val="32"/>
          <w:highlight w:val="none"/>
          <w:shd w:val="clear" w:color="auto" w:fill="auto"/>
          <w:lang w:eastAsia="zh-CN"/>
        </w:rPr>
        <w:t>（</w:t>
      </w:r>
      <w:r>
        <w:rPr>
          <w:rFonts w:hint="eastAsia" w:ascii="楷体" w:hAnsi="楷体" w:eastAsia="楷体" w:cs="楷体"/>
          <w:b w:val="0"/>
          <w:bCs w:val="0"/>
          <w:color w:val="auto"/>
          <w:spacing w:val="0"/>
          <w:sz w:val="32"/>
          <w:szCs w:val="32"/>
          <w:highlight w:val="none"/>
          <w:shd w:val="clear" w:color="auto" w:fill="auto"/>
          <w:lang w:val="en-US" w:eastAsia="zh-CN"/>
        </w:rPr>
        <w:t>二</w:t>
      </w:r>
      <w:r>
        <w:rPr>
          <w:rFonts w:hint="eastAsia" w:ascii="楷体" w:hAnsi="楷体" w:eastAsia="楷体" w:cs="楷体"/>
          <w:b w:val="0"/>
          <w:bCs w:val="0"/>
          <w:color w:val="auto"/>
          <w:spacing w:val="0"/>
          <w:sz w:val="32"/>
          <w:szCs w:val="32"/>
          <w:highlight w:val="none"/>
          <w:shd w:val="clear" w:color="auto" w:fill="auto"/>
          <w:lang w:eastAsia="zh-CN"/>
        </w:rPr>
        <w:t>）地面塌陷、地裂缝、地表沉降型重点防灾地段</w:t>
      </w:r>
    </w:p>
    <w:p w14:paraId="1015673E">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1</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平煤公司古山煤矿和六家煤矿矿区地面塌陷区及地裂缝群</w:t>
      </w:r>
    </w:p>
    <w:p w14:paraId="184BBF35">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责任单位：平煤公司、古山煤矿、六家煤矿、向阳一矿、大黑山有限责任公司、古山镇一矿；平庄镇政府、美丽河镇政府</w:t>
      </w:r>
    </w:p>
    <w:p w14:paraId="2735BC02">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2</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向阳村地面塌陷区及地裂缝群</w:t>
      </w:r>
    </w:p>
    <w:p w14:paraId="64441839">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责任单位：古山煤矿、大黑山煤炭有限公司、平庄镇向阳一矿、平庄镇政府</w:t>
      </w:r>
    </w:p>
    <w:p w14:paraId="45A7865E">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3</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小什大份南山地面塌陷和原瑞安矿业公司地面塌陷区及地裂缝群</w:t>
      </w:r>
    </w:p>
    <w:p w14:paraId="74774077">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责任单位：五家镇政府、平煤公司、西露天煤矿</w:t>
      </w:r>
    </w:p>
    <w:p w14:paraId="7B71E673">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4</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平煤公司风水沟煤矿和老公营子煤矿地面塌陷区及地裂缝群</w:t>
      </w:r>
    </w:p>
    <w:p w14:paraId="3F9ED7BA">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责任单位：平煤公司、风水沟煤矿、老公营子煤矿、风水沟镇政府</w:t>
      </w:r>
    </w:p>
    <w:p w14:paraId="752DE33A">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5</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平煤公司元宝山煤矿矿区地面塌陷区</w:t>
      </w:r>
    </w:p>
    <w:p w14:paraId="0DF6CA99">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责任单位：平煤公司、刘家店元通煤业、四合村矿、元宝山镇政府</w:t>
      </w:r>
    </w:p>
    <w:p w14:paraId="2761BADE">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6</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平煤公司红庙煤矿矿区地面塌陷区及地裂缝群</w:t>
      </w:r>
    </w:p>
    <w:p w14:paraId="3CD6AD0E">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责任单位：平煤公司、红庙煤矿、通达煤矿、元宝山镇政府</w:t>
      </w:r>
    </w:p>
    <w:p w14:paraId="4EE3C9A7">
      <w:pPr>
        <w:pStyle w:val="3"/>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7</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平庄镇新景村四组、二组被地裂缝破坏的居民住宅区</w:t>
      </w:r>
    </w:p>
    <w:p w14:paraId="2119B1AF">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责任单位：新景村委会、平庄镇政府</w:t>
      </w:r>
    </w:p>
    <w:p w14:paraId="73E6F6D5">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8</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各乡镇所辖井工开采矿山(井口)的所有采动区及波及范围</w:t>
      </w:r>
    </w:p>
    <w:p w14:paraId="2F95BAD5">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责任单位：各煤矿企业、金美矿业有限公司、企业所在地乡镇人民政府、企业所在地村民委员会</w:t>
      </w:r>
    </w:p>
    <w:p w14:paraId="02A5A189">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b w:val="0"/>
          <w:bCs w:val="0"/>
          <w:color w:val="auto"/>
          <w:spacing w:val="0"/>
          <w:sz w:val="32"/>
          <w:szCs w:val="32"/>
          <w:shd w:val="clear" w:color="auto" w:fill="auto"/>
          <w:lang w:eastAsia="zh-CN"/>
        </w:rPr>
      </w:pPr>
      <w:r>
        <w:rPr>
          <w:rFonts w:hint="eastAsia" w:ascii="楷体" w:hAnsi="楷体" w:eastAsia="楷体" w:cs="楷体"/>
          <w:b w:val="0"/>
          <w:bCs w:val="0"/>
          <w:color w:val="auto"/>
          <w:spacing w:val="0"/>
          <w:sz w:val="32"/>
          <w:szCs w:val="32"/>
          <w:shd w:val="clear" w:color="auto" w:fill="auto"/>
          <w:lang w:eastAsia="zh-CN"/>
        </w:rPr>
        <w:t>（</w:t>
      </w:r>
      <w:r>
        <w:rPr>
          <w:rFonts w:hint="eastAsia" w:ascii="楷体" w:hAnsi="楷体" w:eastAsia="楷体" w:cs="楷体"/>
          <w:b w:val="0"/>
          <w:bCs w:val="0"/>
          <w:color w:val="auto"/>
          <w:spacing w:val="0"/>
          <w:sz w:val="32"/>
          <w:szCs w:val="32"/>
          <w:shd w:val="clear" w:color="auto" w:fill="auto"/>
          <w:lang w:val="en-US" w:eastAsia="zh-CN"/>
        </w:rPr>
        <w:t>三</w:t>
      </w:r>
      <w:r>
        <w:rPr>
          <w:rFonts w:hint="eastAsia" w:ascii="楷体" w:hAnsi="楷体" w:eastAsia="楷体" w:cs="楷体"/>
          <w:b w:val="0"/>
          <w:bCs w:val="0"/>
          <w:color w:val="auto"/>
          <w:spacing w:val="0"/>
          <w:sz w:val="32"/>
          <w:szCs w:val="32"/>
          <w:shd w:val="clear" w:color="auto" w:fill="auto"/>
          <w:lang w:eastAsia="zh-CN"/>
        </w:rPr>
        <w:t>）泥石流型</w:t>
      </w:r>
      <w:r>
        <w:rPr>
          <w:rFonts w:hint="eastAsia" w:ascii="楷体" w:hAnsi="楷体" w:eastAsia="楷体" w:cs="楷体"/>
          <w:b w:val="0"/>
          <w:bCs w:val="0"/>
          <w:color w:val="auto"/>
          <w:spacing w:val="0"/>
          <w:sz w:val="32"/>
          <w:szCs w:val="32"/>
          <w:shd w:val="clear" w:color="auto" w:fill="auto"/>
          <w:lang w:val="en-US" w:eastAsia="zh-CN"/>
        </w:rPr>
        <w:t xml:space="preserve"> </w:t>
      </w:r>
      <w:r>
        <w:rPr>
          <w:rFonts w:hint="eastAsia" w:ascii="楷体" w:hAnsi="楷体" w:eastAsia="楷体" w:cs="楷体"/>
          <w:b w:val="0"/>
          <w:bCs w:val="0"/>
          <w:color w:val="auto"/>
          <w:spacing w:val="0"/>
          <w:sz w:val="32"/>
          <w:szCs w:val="32"/>
          <w:shd w:val="clear" w:color="auto" w:fill="auto"/>
          <w:lang w:eastAsia="zh-CN"/>
        </w:rPr>
        <w:t>重点地段</w:t>
      </w:r>
    </w:p>
    <w:p w14:paraId="307C052E">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1</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西露天煤矿排土场周边</w:t>
      </w:r>
    </w:p>
    <w:p w14:paraId="4815EB9E">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责任单位：平煤公司、西露天煤矿、平庄镇政府、五家镇政府</w:t>
      </w:r>
    </w:p>
    <w:p w14:paraId="0B78E26C">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2</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元宝山露天煤矿排土场周边</w:t>
      </w:r>
    </w:p>
    <w:p w14:paraId="039748DE">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责任单位：平煤公司、元宝山露天煤矿、元宝山镇政府</w:t>
      </w:r>
    </w:p>
    <w:p w14:paraId="1588DF23">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3</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元宝山区金美矿业有限公司金矿尾矿库</w:t>
      </w:r>
    </w:p>
    <w:p w14:paraId="6AD50DDB">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责任单位：元宝山区金美矿业有限公司、小五家乡政府</w:t>
      </w:r>
    </w:p>
    <w:p w14:paraId="1654B5C3">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4</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全区灭火工程和采空区治理工程各排土场引起的泥石流</w:t>
      </w:r>
    </w:p>
    <w:p w14:paraId="5FEE436D">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责任单位：区应急局、灭火工程和采空区治理工程所在地各乡镇人民政府及相关村委会、各合同施工单位</w:t>
      </w:r>
    </w:p>
    <w:p w14:paraId="6E596631">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5</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炭质泥岩采矿引起的泥石流</w:t>
      </w:r>
    </w:p>
    <w:p w14:paraId="74A5A863">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责任单位：平庄镇政府、五家镇政府、赤峰全盛炭质泥岩有限公司、赤峰嘉润炭质泥岩有限责任公司</w:t>
      </w:r>
    </w:p>
    <w:p w14:paraId="4381EB0B">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b w:val="0"/>
          <w:bCs w:val="0"/>
          <w:color w:val="auto"/>
          <w:spacing w:val="0"/>
          <w:sz w:val="32"/>
          <w:szCs w:val="32"/>
          <w:shd w:val="clear" w:color="auto" w:fill="auto"/>
          <w:lang w:eastAsia="zh-CN"/>
        </w:rPr>
      </w:pPr>
      <w:r>
        <w:rPr>
          <w:rFonts w:hint="eastAsia" w:ascii="楷体" w:hAnsi="楷体" w:eastAsia="楷体" w:cs="楷体"/>
          <w:b w:val="0"/>
          <w:bCs w:val="0"/>
          <w:color w:val="auto"/>
          <w:spacing w:val="0"/>
          <w:sz w:val="32"/>
          <w:szCs w:val="32"/>
          <w:shd w:val="clear" w:color="auto" w:fill="auto"/>
          <w:lang w:eastAsia="zh-CN"/>
        </w:rPr>
        <w:t>（</w:t>
      </w:r>
      <w:r>
        <w:rPr>
          <w:rFonts w:hint="eastAsia" w:ascii="楷体" w:hAnsi="楷体" w:eastAsia="楷体" w:cs="楷体"/>
          <w:b w:val="0"/>
          <w:bCs w:val="0"/>
          <w:color w:val="auto"/>
          <w:spacing w:val="0"/>
          <w:sz w:val="32"/>
          <w:szCs w:val="32"/>
          <w:shd w:val="clear" w:color="auto" w:fill="auto"/>
          <w:lang w:val="en-US" w:eastAsia="zh-CN"/>
        </w:rPr>
        <w:t>四</w:t>
      </w:r>
      <w:r>
        <w:rPr>
          <w:rFonts w:hint="eastAsia" w:ascii="楷体" w:hAnsi="楷体" w:eastAsia="楷体" w:cs="楷体"/>
          <w:b w:val="0"/>
          <w:bCs w:val="0"/>
          <w:color w:val="auto"/>
          <w:spacing w:val="0"/>
          <w:sz w:val="32"/>
          <w:szCs w:val="32"/>
          <w:shd w:val="clear" w:color="auto" w:fill="auto"/>
          <w:lang w:eastAsia="zh-CN"/>
        </w:rPr>
        <w:t>）地表水渗漏型</w:t>
      </w:r>
      <w:r>
        <w:rPr>
          <w:rFonts w:hint="eastAsia" w:ascii="楷体" w:hAnsi="楷体" w:eastAsia="楷体" w:cs="楷体"/>
          <w:b w:val="0"/>
          <w:bCs w:val="0"/>
          <w:color w:val="auto"/>
          <w:spacing w:val="0"/>
          <w:sz w:val="32"/>
          <w:szCs w:val="32"/>
          <w:shd w:val="clear" w:color="auto" w:fill="auto"/>
          <w:lang w:val="en-US" w:eastAsia="zh-CN"/>
        </w:rPr>
        <w:t xml:space="preserve"> </w:t>
      </w:r>
      <w:r>
        <w:rPr>
          <w:rFonts w:hint="eastAsia" w:ascii="楷体" w:hAnsi="楷体" w:eastAsia="楷体" w:cs="楷体"/>
          <w:b w:val="0"/>
          <w:bCs w:val="0"/>
          <w:color w:val="auto"/>
          <w:spacing w:val="0"/>
          <w:sz w:val="32"/>
          <w:szCs w:val="32"/>
          <w:shd w:val="clear" w:color="auto" w:fill="auto"/>
          <w:lang w:eastAsia="zh-CN"/>
        </w:rPr>
        <w:t>重点防灾地段</w:t>
      </w:r>
    </w:p>
    <w:p w14:paraId="363D1279">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1</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流经平煤公司古山煤矿矿区的十大份干河</w:t>
      </w:r>
    </w:p>
    <w:p w14:paraId="105D9246">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责任单位：平煤公司、古山煤矿、平庄镇政府</w:t>
      </w:r>
    </w:p>
    <w:p w14:paraId="2C4BAB4F">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2</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流经元宝山镇南荒村元宝山露天煤矿、赤峰宝马矿业有限公司矿区的英金河</w:t>
      </w:r>
    </w:p>
    <w:p w14:paraId="5BE8E708">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责任单位：元宝山露天煤矿、赤峰宝马矿业有限公司、元宝山镇政府</w:t>
      </w:r>
    </w:p>
    <w:p w14:paraId="0757388D">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3</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各镇所辖井工开采矿山(矿井)的地面塌陷形成的长期或 汛期临时积水盆地</w:t>
      </w:r>
    </w:p>
    <w:p w14:paraId="2B0E8056">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责任单位：各煤矿企业、金美矿业公司、煤矿和金矿所在地乡镇人民政府</w:t>
      </w:r>
    </w:p>
    <w:p w14:paraId="41C13CD6">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楷体" w:hAnsi="楷体" w:eastAsia="楷体" w:cs="楷体"/>
          <w:b w:val="0"/>
          <w:bCs w:val="0"/>
          <w:color w:val="auto"/>
          <w:spacing w:val="0"/>
          <w:sz w:val="32"/>
          <w:szCs w:val="32"/>
          <w:shd w:val="clear" w:color="auto" w:fill="auto"/>
        </w:rPr>
      </w:pPr>
      <w:r>
        <w:rPr>
          <w:rFonts w:hint="eastAsia" w:ascii="楷体" w:hAnsi="楷体" w:eastAsia="楷体" w:cs="楷体"/>
          <w:b w:val="0"/>
          <w:bCs w:val="0"/>
          <w:color w:val="auto"/>
          <w:spacing w:val="0"/>
          <w:sz w:val="32"/>
          <w:szCs w:val="32"/>
          <w:shd w:val="clear" w:color="auto" w:fill="auto"/>
          <w:lang w:eastAsia="zh-CN"/>
        </w:rPr>
        <w:t>（</w:t>
      </w:r>
      <w:r>
        <w:rPr>
          <w:rFonts w:hint="eastAsia" w:ascii="楷体" w:hAnsi="楷体" w:eastAsia="楷体" w:cs="楷体"/>
          <w:b w:val="0"/>
          <w:bCs w:val="0"/>
          <w:color w:val="auto"/>
          <w:spacing w:val="0"/>
          <w:sz w:val="32"/>
          <w:szCs w:val="32"/>
          <w:shd w:val="clear" w:color="auto" w:fill="auto"/>
          <w:lang w:val="en-US" w:eastAsia="zh-CN"/>
        </w:rPr>
        <w:t>五</w:t>
      </w:r>
      <w:r>
        <w:rPr>
          <w:rFonts w:hint="eastAsia" w:ascii="楷体" w:hAnsi="楷体" w:eastAsia="楷体" w:cs="楷体"/>
          <w:b w:val="0"/>
          <w:bCs w:val="0"/>
          <w:color w:val="auto"/>
          <w:spacing w:val="0"/>
          <w:sz w:val="32"/>
          <w:szCs w:val="32"/>
          <w:shd w:val="clear" w:color="auto" w:fill="auto"/>
          <w:lang w:eastAsia="zh-CN"/>
        </w:rPr>
        <w:t>）</w:t>
      </w:r>
      <w:r>
        <w:rPr>
          <w:rFonts w:hint="eastAsia" w:ascii="楷体" w:hAnsi="楷体" w:eastAsia="楷体" w:cs="楷体"/>
          <w:b w:val="0"/>
          <w:bCs w:val="0"/>
          <w:color w:val="auto"/>
          <w:spacing w:val="0"/>
          <w:sz w:val="32"/>
          <w:szCs w:val="32"/>
          <w:shd w:val="clear" w:color="auto" w:fill="auto"/>
        </w:rPr>
        <w:t>汛期防洪</w:t>
      </w:r>
    </w:p>
    <w:p w14:paraId="646DA2F0">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该类型为汛期防洪专例，为防止洪水溃堤造成灾害，虽不属于地质因素造成，但一旦造成灾害对人民的生命财产危害极大，为此特作防害预案处理。防灾重点地区，一是老哈河流域；二是英金河流域；三是南马架子河流经的西露天煤矿及太平地村区域；四是楼子店干河流经的五家镇望甘池村区域；五是兴隆庄河流经的平庄镇兴隆庄村、太平地村、山前村区域。</w:t>
      </w:r>
    </w:p>
    <w:p w14:paraId="21356822">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重点防灾地段：</w:t>
      </w:r>
    </w:p>
    <w:p w14:paraId="31BCAB9C">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1</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老哈河元宝山镇南庙村河段；</w:t>
      </w:r>
    </w:p>
    <w:p w14:paraId="67D6A085">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2</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老哈河元宝山镇王家店村、玉皇村河段；</w:t>
      </w:r>
    </w:p>
    <w:p w14:paraId="1E9F77F4">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3</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老哈河美丽河镇青山村、前美丽河村河段；</w:t>
      </w:r>
    </w:p>
    <w:p w14:paraId="387F36D8">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4</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老哈河美丽河镇四家村河段；</w:t>
      </w:r>
    </w:p>
    <w:p w14:paraId="4EB4E352">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5</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英金河元宝山镇南荒村、元宝山露天矿和赤峰宝马公司矿区河段；</w:t>
      </w:r>
    </w:p>
    <w:p w14:paraId="091A6C26">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6</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马架子河西露天煤矿及太平地村河段；</w:t>
      </w:r>
    </w:p>
    <w:p w14:paraId="195BF07F">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7</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五家镇望甘池村河段的非法采砂点；</w:t>
      </w:r>
    </w:p>
    <w:p w14:paraId="3F60BB7C">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8</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楼子店河平庄镇太平地段；</w:t>
      </w:r>
    </w:p>
    <w:p w14:paraId="0FE40837">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9</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兴隆庄河平庄镇兴隆庄村、太平地村、山前村河段。</w:t>
      </w:r>
    </w:p>
    <w:p w14:paraId="30FB9CA4">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责任单位分别是上述河流流经的乡镇人民政府、村民委员会、平煤公司及其所辖的露天煤矿。</w:t>
      </w:r>
    </w:p>
    <w:p w14:paraId="19085638">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各责任单位要充分认识到地质灾害防治工作的重要性、紧迫性，切实提高认识，把地质灾害防治工作抓紧抓实抓细，完善群测群防网络，加强监测预报，对本辖区所有地质灾害隐患点，都要纳入群测群防网络，加强监测，提高成功预报率。对危害严重的地质灾害隐患点，各乡镇人民政府要编制“防、抢、撤”预案，落实监测领导和具体监测人，结合气象预报，一旦发现险情，及时向当地政府及区地质灾害防治办公室通报并采取措施，尽最大努力避免和减少人员伤亡。</w:t>
      </w:r>
    </w:p>
    <w:p w14:paraId="0E5C1B2F">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outlineLvl w:val="2"/>
        <w:rPr>
          <w:rFonts w:hint="eastAsia" w:ascii="黑体" w:hAnsi="黑体" w:eastAsia="黑体" w:cs="黑体"/>
          <w:b w:val="0"/>
          <w:bCs w:val="0"/>
          <w:color w:val="auto"/>
          <w:spacing w:val="0"/>
          <w:sz w:val="32"/>
          <w:szCs w:val="32"/>
          <w:shd w:val="clear" w:color="auto" w:fill="auto"/>
        </w:rPr>
      </w:pPr>
      <w:r>
        <w:rPr>
          <w:rFonts w:hint="eastAsia" w:ascii="黑体" w:hAnsi="黑体" w:eastAsia="黑体" w:cs="黑体"/>
          <w:b w:val="0"/>
          <w:bCs w:val="0"/>
          <w:color w:val="auto"/>
          <w:spacing w:val="0"/>
          <w:sz w:val="32"/>
          <w:szCs w:val="32"/>
          <w:shd w:val="clear" w:color="auto" w:fill="auto"/>
          <w:lang w:val="en-US" w:eastAsia="zh-CN"/>
        </w:rPr>
        <w:t>六</w:t>
      </w:r>
      <w:r>
        <w:rPr>
          <w:rFonts w:hint="eastAsia" w:ascii="黑体" w:hAnsi="黑体" w:eastAsia="黑体" w:cs="黑体"/>
          <w:b w:val="0"/>
          <w:bCs w:val="0"/>
          <w:color w:val="auto"/>
          <w:spacing w:val="0"/>
          <w:sz w:val="32"/>
          <w:szCs w:val="32"/>
          <w:shd w:val="clear" w:color="auto" w:fill="auto"/>
        </w:rPr>
        <w:t>、预防治理地质灾害的措施</w:t>
      </w:r>
    </w:p>
    <w:p w14:paraId="786142C1">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针对前述重点防范区及重要地段地质灾害隐患点的评价预测，特提出如下防灾、减灾措施安排。</w:t>
      </w:r>
    </w:p>
    <w:p w14:paraId="7D3A56DF">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楷体" w:hAnsi="楷体" w:eastAsia="楷体" w:cs="楷体"/>
          <w:b w:val="0"/>
          <w:bCs w:val="0"/>
          <w:color w:val="auto"/>
          <w:spacing w:val="0"/>
          <w:sz w:val="32"/>
          <w:szCs w:val="32"/>
          <w:shd w:val="clear" w:color="auto" w:fill="auto"/>
        </w:rPr>
      </w:pPr>
      <w:r>
        <w:rPr>
          <w:rFonts w:hint="eastAsia" w:ascii="楷体" w:hAnsi="楷体" w:eastAsia="楷体" w:cs="楷体"/>
          <w:b w:val="0"/>
          <w:bCs w:val="0"/>
          <w:color w:val="auto"/>
          <w:spacing w:val="0"/>
          <w:sz w:val="32"/>
          <w:szCs w:val="32"/>
          <w:shd w:val="clear" w:color="auto" w:fill="auto"/>
        </w:rPr>
        <w:t>（一）加强领导，落实政府主体责任</w:t>
      </w:r>
    </w:p>
    <w:p w14:paraId="7DD2E0DD">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各乡镇人民政府、街道管理办公室</w:t>
      </w:r>
      <w:r>
        <w:rPr>
          <w:rFonts w:hint="eastAsia" w:ascii="仿宋_GB2312" w:hAnsi="仿宋_GB2312" w:eastAsia="仿宋_GB2312" w:cs="仿宋_GB2312"/>
          <w:color w:val="auto"/>
          <w:spacing w:val="0"/>
          <w:sz w:val="32"/>
          <w:szCs w:val="32"/>
          <w:shd w:val="clear" w:color="auto" w:fill="auto"/>
          <w:lang w:val="en-US" w:eastAsia="zh-CN"/>
        </w:rPr>
        <w:t>必须将</w:t>
      </w:r>
      <w:r>
        <w:rPr>
          <w:rFonts w:hint="eastAsia" w:ascii="仿宋_GB2312" w:hAnsi="仿宋_GB2312" w:eastAsia="仿宋_GB2312" w:cs="仿宋_GB2312"/>
          <w:color w:val="auto"/>
          <w:spacing w:val="0"/>
          <w:sz w:val="32"/>
          <w:szCs w:val="32"/>
          <w:shd w:val="clear" w:color="auto" w:fill="auto"/>
        </w:rPr>
        <w:t>地质灾害防治工作纳入重要议事日程，纳入政府绩效考核。各乡镇人民政府、街道管理办公室行政一把手，对本辖区内地质灾害防治工作负总责，要站在执政为民、服务发展的高度，提高对地质灾害防治工作的认识，按照国务院《地质灾害防治条例》的规定，认真履行职责，把地质灾害防治工作作为防灾减灾的重点进行部署和落实。</w:t>
      </w:r>
      <w:r>
        <w:rPr>
          <w:rFonts w:hint="eastAsia" w:ascii="仿宋_GB2312" w:hAnsi="仿宋_GB2312" w:eastAsia="仿宋_GB2312" w:cs="仿宋_GB2312"/>
          <w:color w:val="auto"/>
          <w:spacing w:val="0"/>
          <w:sz w:val="32"/>
          <w:szCs w:val="32"/>
          <w:shd w:val="clear" w:color="auto" w:fill="auto"/>
          <w:lang w:val="en-US" w:eastAsia="zh-CN"/>
        </w:rPr>
        <w:t>镇</w:t>
      </w:r>
      <w:r>
        <w:rPr>
          <w:rFonts w:hint="eastAsia" w:ascii="仿宋_GB2312" w:hAnsi="仿宋_GB2312" w:eastAsia="仿宋_GB2312" w:cs="仿宋_GB2312"/>
          <w:color w:val="auto"/>
          <w:spacing w:val="0"/>
          <w:sz w:val="32"/>
          <w:szCs w:val="32"/>
          <w:shd w:val="clear" w:color="auto" w:fill="auto"/>
        </w:rPr>
        <w:t>、乡、村要层层签订地质灾害防治责任状，确保防治责任和措施层层落到实处，要督促检查防灾责任落实情况。根据本地区实际建立完善应急避难场所，储备必要的抢险救灾专用物资，保证抢险救灾物资的供应；要将地质灾害防治与救灾费用纳入同级财政预算，加大地质灾害防治投入。</w:t>
      </w:r>
    </w:p>
    <w:p w14:paraId="4DF22D9E">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楷体" w:hAnsi="楷体" w:eastAsia="楷体" w:cs="楷体"/>
          <w:b w:val="0"/>
          <w:bCs w:val="0"/>
          <w:color w:val="auto"/>
          <w:spacing w:val="0"/>
          <w:sz w:val="32"/>
          <w:szCs w:val="32"/>
          <w:shd w:val="clear" w:color="auto" w:fill="auto"/>
        </w:rPr>
      </w:pPr>
      <w:r>
        <w:rPr>
          <w:rFonts w:hint="eastAsia" w:ascii="楷体" w:hAnsi="楷体" w:eastAsia="楷体" w:cs="楷体"/>
          <w:b w:val="0"/>
          <w:bCs w:val="0"/>
          <w:color w:val="auto"/>
          <w:spacing w:val="0"/>
          <w:sz w:val="32"/>
          <w:szCs w:val="32"/>
          <w:shd w:val="clear" w:color="auto" w:fill="auto"/>
        </w:rPr>
        <w:t>（二）协调配合，建立部门联动机制</w:t>
      </w:r>
    </w:p>
    <w:p w14:paraId="10C0E60D">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坚持“分级负责，属地管理”原则，建立健全“党委领导、政府主导、部门协同、社会参与、法制保障”的社会化、扁平化防治工作新格局，强化分级负责的政府责任体系，全面落实政府主导、行业共治、全民参与的防治管理机制。要加强部门之间的协调配合，建立部门联动机制。</w:t>
      </w:r>
    </w:p>
    <w:p w14:paraId="47F08634">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1</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自然资源主管部门组织编制地质灾害防治规划并指导实施。组织指导协调和监督地质灾害调查评价及隐患的普查、详查、排查。指导开展群测群防、专业监测和预报预警等工作，指导开展地质灾害工程治理工作。承担地质灾害应急救援的技术支撑工作。</w:t>
      </w:r>
    </w:p>
    <w:p w14:paraId="0F9A6DEC">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重点是组织各相关部门对本地区地质灾害进行汛期检查；切实加强辖区内的地质灾害排查力度，要将“防灾明白卡”、“避灾明白卡”发放到受威胁的每个单位、每个学校、每一户居民手中。及时向上级行政主管部门报告本辖区地质灾害检查、处理情况及存在问题，遇重大地质灾害发生，按地质灾害速报要求，及时上报；组织建设项目地质灾害危险性评估，对建设项目的不合理布局提出处理建议。依法推进矿山地质环境保护与恢复治理工作。贯彻地质灾害“谁诱发、谁治理”的原则，切实加强尾矿坝、废渣场的管理工作；对于在地质灾害易发区内采矿、削坡、采石、破坏植被、堆放渣石等容易诱发地质灾害和加大地质灾害险情的活动加大监督检查力度。</w:t>
      </w:r>
    </w:p>
    <w:p w14:paraId="6E65A714">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2</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应急管理部门组织编制地质灾害专项应急预案，指导各地区各部门应对突发事件工作，推动应急预案体系建设和预案演练。建立灾情报告系统并统一发布灾情，统筹应急力量建设和物资储备并在救灾时统一调度，组织灾害救助体系建设，指导地质灾害应急救援及防治。</w:t>
      </w:r>
    </w:p>
    <w:p w14:paraId="72453DBC">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成立地质灾害应急专家组，为地质灾害应急、救援、处置等工作提供技术指导与咨询服务。</w:t>
      </w:r>
    </w:p>
    <w:p w14:paraId="7893BF45">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开展应急调查、应急评估、地质灾害趋势预测、地质灾害气象预报预警技术的研究和开发，同时开展有针对性的应急演练和培训工作。</w:t>
      </w:r>
    </w:p>
    <w:p w14:paraId="74BB1900">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3</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财政主管部门负责地质灾害防治与应急救灾资金的筹集和落实；做好地质灾害防治与应急救灾补助资金的分配及使用的指导、监督和管理等工作。</w:t>
      </w:r>
    </w:p>
    <w:p w14:paraId="278681B3">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4</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交通主管部门要加强公路建设项目地质灾害防治工作，加强汛期交通干线两侧陡边坡的监测，及时采取措施，尽可能的减少滑坡、崩塌灾害的危害。发生地质灾害灾情或险情时，负责采取有效措施，保障交通干线的安全，确保道路畅通；及时组织抢修损毁的交通设施，保证救灾物资运输。</w:t>
      </w:r>
    </w:p>
    <w:p w14:paraId="78753B19">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5</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水利主管部门要加强水利工程，特别是病、险水库的监测，防止水库溃坝诱发泥石流灾害的发生，确保汛期安全度汛。发生地质灾害灾情或险情时，负责水情和汛情的监测，以及地质灾害引发的次生洪涝灾害的监测预警。</w:t>
      </w:r>
    </w:p>
    <w:p w14:paraId="632A7D83">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6</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旅游主管部门在游览时间、路线景点的选择上，应注意避开容易发生地质灾害的强降雨天气期和存在泥石流、崩塌等地质灾害隐患的地段。发生地质灾害灾情或险情时，负责指导、督促相关部门做好旅游服务设施的保护和排险，做好旅游景点游客的疏散工作。</w:t>
      </w:r>
    </w:p>
    <w:p w14:paraId="5517B70F">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7</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教育主管部门要在汛期到来之前，系统的检查地质灾害易发区内学校建筑物的安全，防范泥石流、崩塌等地质灾害对师生员工生命安全的危害。</w:t>
      </w:r>
    </w:p>
    <w:p w14:paraId="373BA6BC">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8</w:t>
      </w:r>
      <w:r>
        <w:rPr>
          <w:rFonts w:hint="eastAsia" w:ascii="仿宋_GB2312" w:hAnsi="仿宋_GB2312" w:eastAsia="仿宋_GB2312" w:cs="仿宋_GB2312"/>
          <w:color w:val="auto"/>
          <w:spacing w:val="0"/>
          <w:sz w:val="32"/>
          <w:szCs w:val="32"/>
          <w:shd w:val="clear" w:color="auto" w:fill="auto"/>
          <w:lang w:val="en-US" w:eastAsia="zh-CN"/>
        </w:rPr>
        <w:t>.</w:t>
      </w:r>
      <w:r>
        <w:rPr>
          <w:rFonts w:hint="eastAsia" w:ascii="仿宋_GB2312" w:hAnsi="仿宋_GB2312" w:eastAsia="仿宋_GB2312" w:cs="仿宋_GB2312"/>
          <w:color w:val="auto"/>
          <w:spacing w:val="0"/>
          <w:sz w:val="32"/>
          <w:szCs w:val="32"/>
          <w:shd w:val="clear" w:color="auto" w:fill="auto"/>
        </w:rPr>
        <w:t>气象主管部门要加强汛期灾害性天气的监测，为各部门的地质灾害防治工作提供必要的气象预报信息。发生地质灾害灾情或险情时，负责提供地质灾害气象风险预警信息，对事发地的气象进行监测预警。</w:t>
      </w:r>
    </w:p>
    <w:p w14:paraId="6680A6E1">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楷体" w:hAnsi="楷体" w:eastAsia="楷体" w:cs="楷体"/>
          <w:b w:val="0"/>
          <w:bCs w:val="0"/>
          <w:color w:val="auto"/>
          <w:spacing w:val="0"/>
          <w:sz w:val="32"/>
          <w:szCs w:val="32"/>
          <w:shd w:val="clear" w:color="auto" w:fill="auto"/>
        </w:rPr>
      </w:pPr>
      <w:r>
        <w:rPr>
          <w:rFonts w:hint="eastAsia" w:ascii="楷体" w:hAnsi="楷体" w:eastAsia="楷体" w:cs="楷体"/>
          <w:b w:val="0"/>
          <w:bCs w:val="0"/>
          <w:color w:val="auto"/>
          <w:spacing w:val="0"/>
          <w:sz w:val="32"/>
          <w:szCs w:val="32"/>
          <w:shd w:val="clear" w:color="auto" w:fill="auto"/>
        </w:rPr>
        <w:t>（三）加强地质灾害应急调查与处置工作</w:t>
      </w:r>
    </w:p>
    <w:p w14:paraId="2C406546">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各乡镇、街道管理办公室要在汛期之前组织有关人员对本地区进行一次地质灾害应急调查（隐患点排查），要把威胁居民、建筑物、铁路、国道等地质灾害作为防范重点，全面掌握当地地质灾害的基本情况和动态。在掌握基本情况的基础上，对具备发生地质灾害条件的危险点，要强化监测、预测、预报工作，提出具体的防灾预案，并加紧组织实施。汛期要加强监测，严密注视，防患于未然。</w:t>
      </w:r>
    </w:p>
    <w:p w14:paraId="6FAEBEEA">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各乡镇人民政府、街道管理办公室对辖区内地质灾害防治工作负总责，要切实加强地质灾害应急管理机构和专业应急队伍建设，加快建设地质灾害应急指挥平台，配备必要的交通、通讯等地质灾害应急装备。一旦发生地质灾害灾情或险情，立即组织地质灾害专业应急队伍迅速赶赴现场，开展应急调查和抢险救灾工作。</w:t>
      </w:r>
    </w:p>
    <w:p w14:paraId="167C4188">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楷体" w:hAnsi="楷体" w:eastAsia="楷体" w:cs="楷体"/>
          <w:b w:val="0"/>
          <w:bCs w:val="0"/>
          <w:color w:val="auto"/>
          <w:spacing w:val="0"/>
          <w:sz w:val="32"/>
          <w:szCs w:val="32"/>
          <w:shd w:val="clear" w:color="auto" w:fill="auto"/>
        </w:rPr>
      </w:pPr>
      <w:r>
        <w:rPr>
          <w:rFonts w:hint="eastAsia" w:ascii="楷体" w:hAnsi="楷体" w:eastAsia="楷体" w:cs="楷体"/>
          <w:b w:val="0"/>
          <w:bCs w:val="0"/>
          <w:color w:val="auto"/>
          <w:spacing w:val="0"/>
          <w:sz w:val="32"/>
          <w:szCs w:val="32"/>
          <w:shd w:val="clear" w:color="auto" w:fill="auto"/>
        </w:rPr>
        <w:t>（四）加强地质灾害监测预警工作</w:t>
      </w:r>
    </w:p>
    <w:p w14:paraId="5AFB4518">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对出现地质灾害前兆、可能造成人员伤亡或重大财产损失的区域和地段，各乡镇人民政府、街道管理办公室要及时发出预警，划定危险区，并设置警示标志予以公告。</w:t>
      </w:r>
    </w:p>
    <w:p w14:paraId="659EA5FD">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各地要密切关注自然资源主管部门与气象部门联合发布的中、短期地质灾害预报，以地质灾害易发程度区划为基础，当发生连续暴雨、大暴雨时，广大干部群众都要提高警惕，防范地质灾害，避免、减轻地质灾害的危害和损失。</w:t>
      </w:r>
    </w:p>
    <w:p w14:paraId="5C26E4FC">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建立健全地质灾害群测群防监测网络，加强监测网络管理和建设工作，对地质灾害易发区（特别是重点隐患区、段、点）要逐块、逐段、逐点确定责任人和监测人员，并制定出临灾时报警方法、报警信号、群众组织方式及人员撤离路线。</w:t>
      </w:r>
    </w:p>
    <w:p w14:paraId="7737ACAB">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楷体" w:hAnsi="楷体" w:eastAsia="楷体" w:cs="楷体"/>
          <w:b w:val="0"/>
          <w:bCs w:val="0"/>
          <w:color w:val="auto"/>
          <w:spacing w:val="0"/>
          <w:sz w:val="32"/>
          <w:szCs w:val="32"/>
          <w:shd w:val="clear" w:color="auto" w:fill="auto"/>
        </w:rPr>
      </w:pPr>
      <w:r>
        <w:rPr>
          <w:rFonts w:hint="eastAsia" w:ascii="楷体" w:hAnsi="楷体" w:eastAsia="楷体" w:cs="楷体"/>
          <w:b w:val="0"/>
          <w:bCs w:val="0"/>
          <w:color w:val="auto"/>
          <w:spacing w:val="0"/>
          <w:sz w:val="32"/>
          <w:szCs w:val="32"/>
          <w:shd w:val="clear" w:color="auto" w:fill="auto"/>
        </w:rPr>
        <w:t>（五）坚持重要隐患点巡回检查制度</w:t>
      </w:r>
    </w:p>
    <w:p w14:paraId="7A3E850F">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地质灾害防治工作是一项全社会的公益性事业，也是各级人民政府和有关部门的一项重要职能，各级人民政府及有关部门要有高度的责任感和使命感，加强地质灾害防治的监督、管理和实地调查研究，对重点防治区域每年巡视工作不少于两次（汛前一次、汛中一次）。通过巡回检查对地质灾害的易发程度和危害性大小做出初步判断，提出防治措施建议。对已建和在建的地质灾害防治工程进行一次工程质量全面检查，消除工程潜在的地质灾害隐患，确保人民群众生命财产安全。同时要将检查灾害任务层层落实，做到责任到人，制度严密。</w:t>
      </w:r>
    </w:p>
    <w:p w14:paraId="6A981AF6">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楷体" w:hAnsi="楷体" w:eastAsia="楷体" w:cs="楷体"/>
          <w:b w:val="0"/>
          <w:bCs w:val="0"/>
          <w:color w:val="auto"/>
          <w:spacing w:val="0"/>
          <w:sz w:val="32"/>
          <w:szCs w:val="32"/>
          <w:shd w:val="clear" w:color="auto" w:fill="auto"/>
        </w:rPr>
      </w:pPr>
      <w:r>
        <w:rPr>
          <w:rFonts w:hint="eastAsia" w:ascii="楷体" w:hAnsi="楷体" w:eastAsia="楷体" w:cs="楷体"/>
          <w:b w:val="0"/>
          <w:bCs w:val="0"/>
          <w:color w:val="auto"/>
          <w:spacing w:val="0"/>
          <w:sz w:val="32"/>
          <w:szCs w:val="32"/>
          <w:shd w:val="clear" w:color="auto" w:fill="auto"/>
        </w:rPr>
        <w:t>（六）严格实行汛期值班制度和灾情险情速报制度</w:t>
      </w:r>
    </w:p>
    <w:p w14:paraId="47023B0E">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在汛期，自然资源管理部门和有关部门、单位要严格实施汛期值班制度，加强应急值守，保持通讯畅通，要有专人24小时值班，做到责任到人，值班到位。一旦发生灾情险情，要按照地质灾害速报制度要求，落实到位。</w:t>
      </w:r>
    </w:p>
    <w:p w14:paraId="211A1D61">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color w:val="auto"/>
          <w:spacing w:val="0"/>
          <w:sz w:val="32"/>
          <w:szCs w:val="32"/>
          <w:shd w:val="clear" w:color="auto" w:fill="auto"/>
        </w:rPr>
      </w:pPr>
      <w:r>
        <w:rPr>
          <w:rFonts w:hint="eastAsia" w:ascii="仿宋_GB2312" w:hAnsi="仿宋_GB2312" w:eastAsia="仿宋_GB2312" w:cs="仿宋_GB2312"/>
          <w:color w:val="auto"/>
          <w:spacing w:val="0"/>
          <w:sz w:val="32"/>
          <w:szCs w:val="32"/>
          <w:shd w:val="clear" w:color="auto" w:fill="auto"/>
        </w:rPr>
        <w:t>地质灾害发生时，担任监测任务的单位、基层组织和个人要立即向</w:t>
      </w:r>
      <w:r>
        <w:rPr>
          <w:rFonts w:hint="eastAsia" w:ascii="仿宋_GB2312" w:hAnsi="仿宋_GB2312" w:eastAsia="仿宋_GB2312" w:cs="仿宋_GB2312"/>
          <w:color w:val="auto"/>
          <w:spacing w:val="0"/>
          <w:sz w:val="32"/>
          <w:szCs w:val="32"/>
          <w:shd w:val="clear" w:color="auto" w:fill="auto"/>
          <w:lang w:val="en-US" w:eastAsia="zh-CN"/>
        </w:rPr>
        <w:t>区</w:t>
      </w:r>
      <w:r>
        <w:rPr>
          <w:rFonts w:hint="eastAsia" w:ascii="仿宋_GB2312" w:hAnsi="仿宋_GB2312" w:eastAsia="仿宋_GB2312" w:cs="仿宋_GB2312"/>
          <w:color w:val="auto"/>
          <w:spacing w:val="0"/>
          <w:sz w:val="32"/>
          <w:szCs w:val="32"/>
          <w:shd w:val="clear" w:color="auto" w:fill="auto"/>
        </w:rPr>
        <w:t>人民政府、自然资源主管部门和应急管理主管部门报告灾情，发生较大级以上地质灾害，还应按相关预案和规定分别上报市自然资源局、市应急管理局、自治区自然资源厅、国务院自然资源行政主管部门。</w:t>
      </w:r>
      <w:r>
        <w:rPr>
          <w:rFonts w:hint="eastAsia" w:ascii="仿宋_GB2312" w:hAnsi="仿宋_GB2312" w:eastAsia="仿宋_GB2312" w:cs="仿宋_GB2312"/>
          <w:color w:val="auto"/>
          <w:spacing w:val="0"/>
          <w:sz w:val="32"/>
          <w:szCs w:val="32"/>
          <w:shd w:val="clear" w:color="auto" w:fill="auto"/>
          <w:lang w:val="en-US" w:eastAsia="zh-CN"/>
        </w:rPr>
        <w:t>区</w:t>
      </w:r>
      <w:r>
        <w:rPr>
          <w:rFonts w:hint="eastAsia" w:ascii="仿宋_GB2312" w:hAnsi="仿宋_GB2312" w:eastAsia="仿宋_GB2312" w:cs="仿宋_GB2312"/>
          <w:color w:val="auto"/>
          <w:spacing w:val="0"/>
          <w:sz w:val="32"/>
          <w:szCs w:val="32"/>
          <w:shd w:val="clear" w:color="auto" w:fill="auto"/>
        </w:rPr>
        <w:t>自然资源行政主管部门要迅速组织力量赴现场调查，了解灾害发生原因、发展趋势，协助</w:t>
      </w:r>
      <w:r>
        <w:rPr>
          <w:rFonts w:hint="eastAsia" w:ascii="仿宋_GB2312" w:hAnsi="仿宋_GB2312" w:eastAsia="仿宋_GB2312" w:cs="仿宋_GB2312"/>
          <w:color w:val="auto"/>
          <w:spacing w:val="0"/>
          <w:sz w:val="32"/>
          <w:szCs w:val="32"/>
          <w:shd w:val="clear" w:color="auto" w:fill="auto"/>
          <w:lang w:val="en-US" w:eastAsia="zh-CN"/>
        </w:rPr>
        <w:t>区</w:t>
      </w:r>
      <w:r>
        <w:rPr>
          <w:rFonts w:hint="eastAsia" w:ascii="仿宋_GB2312" w:hAnsi="仿宋_GB2312" w:eastAsia="仿宋_GB2312" w:cs="仿宋_GB2312"/>
          <w:color w:val="auto"/>
          <w:spacing w:val="0"/>
          <w:sz w:val="32"/>
          <w:szCs w:val="32"/>
          <w:shd w:val="clear" w:color="auto" w:fill="auto"/>
        </w:rPr>
        <w:t>人民政府妥善采取应急措施，并编制详细、完整的调查处置报告，报送</w:t>
      </w:r>
      <w:r>
        <w:rPr>
          <w:rFonts w:hint="eastAsia" w:ascii="仿宋_GB2312" w:hAnsi="仿宋_GB2312" w:eastAsia="仿宋_GB2312" w:cs="仿宋_GB2312"/>
          <w:color w:val="auto"/>
          <w:spacing w:val="0"/>
          <w:sz w:val="32"/>
          <w:szCs w:val="32"/>
          <w:shd w:val="clear" w:color="auto" w:fill="auto"/>
          <w:lang w:val="en-US" w:eastAsia="zh-CN"/>
        </w:rPr>
        <w:t>区</w:t>
      </w:r>
      <w:r>
        <w:rPr>
          <w:rFonts w:hint="eastAsia" w:ascii="仿宋_GB2312" w:hAnsi="仿宋_GB2312" w:eastAsia="仿宋_GB2312" w:cs="仿宋_GB2312"/>
          <w:color w:val="auto"/>
          <w:spacing w:val="0"/>
          <w:sz w:val="32"/>
          <w:szCs w:val="32"/>
          <w:shd w:val="clear" w:color="auto" w:fill="auto"/>
        </w:rPr>
        <w:t>人民政府、市人民政府、市自然资源局及自治区自然资源厅备案。</w:t>
      </w:r>
    </w:p>
    <w:p w14:paraId="5A1507CF">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楷体" w:hAnsi="楷体" w:eastAsia="楷体" w:cs="楷体"/>
          <w:b w:val="0"/>
          <w:bCs w:val="0"/>
          <w:color w:val="auto"/>
          <w:spacing w:val="0"/>
          <w:sz w:val="32"/>
          <w:szCs w:val="32"/>
          <w:shd w:val="clear" w:color="auto" w:fill="auto"/>
        </w:rPr>
      </w:pPr>
      <w:r>
        <w:rPr>
          <w:rFonts w:hint="eastAsia" w:ascii="楷体" w:hAnsi="楷体" w:eastAsia="楷体" w:cs="楷体"/>
          <w:b w:val="0"/>
          <w:bCs w:val="0"/>
          <w:color w:val="auto"/>
          <w:spacing w:val="0"/>
          <w:sz w:val="32"/>
          <w:szCs w:val="32"/>
          <w:shd w:val="clear" w:color="auto" w:fill="auto"/>
        </w:rPr>
        <w:t>（七）扎实推进地质灾害危险性评估工作</w:t>
      </w:r>
    </w:p>
    <w:p w14:paraId="431EB0CA">
      <w:pPr>
        <w:keepNext w:val="0"/>
        <w:keepLines w:val="0"/>
        <w:pageBreakBefore w:val="0"/>
        <w:widowControl w:val="0"/>
        <w:kinsoku w:val="0"/>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b w:val="0"/>
          <w:bCs w:val="0"/>
          <w:color w:val="auto"/>
          <w:spacing w:val="0"/>
          <w:sz w:val="32"/>
          <w:szCs w:val="32"/>
          <w:shd w:val="clear" w:color="auto" w:fill="auto"/>
        </w:rPr>
      </w:pPr>
      <w:r>
        <w:rPr>
          <w:rFonts w:hint="eastAsia" w:ascii="仿宋_GB2312" w:hAnsi="仿宋_GB2312" w:eastAsia="仿宋_GB2312" w:cs="仿宋_GB2312"/>
          <w:b w:val="0"/>
          <w:bCs w:val="0"/>
          <w:color w:val="auto"/>
          <w:spacing w:val="0"/>
          <w:sz w:val="32"/>
          <w:szCs w:val="32"/>
          <w:shd w:val="clear" w:color="auto" w:fill="auto"/>
        </w:rPr>
        <w:t>要严格执行地质灾害危险性评估制度，从源头上控制地质灾害的发生。在地质灾害易发区进行工程建设，开发旅游景点或者编制地质灾害易发区城镇总体规划、村庄和集镇规划时，要认真做好地质灾害危险性评估工作，并对可能产生的地质灾害采取有效的防治措施。</w:t>
      </w:r>
    </w:p>
    <w:p w14:paraId="7CBECC29">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楷体" w:hAnsi="楷体" w:eastAsia="楷体" w:cs="楷体"/>
          <w:b w:val="0"/>
          <w:bCs w:val="0"/>
          <w:color w:val="auto"/>
          <w:spacing w:val="0"/>
          <w:sz w:val="32"/>
          <w:szCs w:val="32"/>
          <w:shd w:val="clear" w:color="auto" w:fill="auto"/>
        </w:rPr>
      </w:pPr>
      <w:r>
        <w:rPr>
          <w:rFonts w:hint="eastAsia" w:ascii="楷体" w:hAnsi="楷体" w:eastAsia="楷体" w:cs="楷体"/>
          <w:b w:val="0"/>
          <w:bCs w:val="0"/>
          <w:color w:val="auto"/>
          <w:spacing w:val="0"/>
          <w:sz w:val="32"/>
          <w:szCs w:val="32"/>
          <w:shd w:val="clear" w:color="auto" w:fill="auto"/>
        </w:rPr>
        <w:t>（八）加强地质灾害预防知识宣传教育，提高全民保护地质环境和防灾减灾意识</w:t>
      </w:r>
    </w:p>
    <w:p w14:paraId="509DE53E">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b w:val="0"/>
          <w:bCs w:val="0"/>
          <w:color w:val="auto"/>
          <w:spacing w:val="0"/>
          <w:sz w:val="32"/>
          <w:szCs w:val="32"/>
          <w:shd w:val="clear" w:color="auto" w:fill="auto"/>
        </w:rPr>
      </w:pPr>
      <w:r>
        <w:rPr>
          <w:rFonts w:hint="eastAsia" w:ascii="仿宋_GB2312" w:hAnsi="仿宋_GB2312" w:eastAsia="仿宋_GB2312" w:cs="仿宋_GB2312"/>
          <w:b w:val="0"/>
          <w:bCs w:val="0"/>
          <w:color w:val="auto"/>
          <w:spacing w:val="0"/>
          <w:sz w:val="32"/>
          <w:szCs w:val="32"/>
          <w:shd w:val="clear" w:color="auto" w:fill="auto"/>
        </w:rPr>
        <w:t>广泛宣传地质灾害防治基本知识，尤其是要让地质灾害易发区和隐患点附近的居民，掌握地质灾害突发前的征兆和发生时紧急避让方法，明确撤离路线，尽可能的减少因地质灾害造成的损失。</w:t>
      </w:r>
    </w:p>
    <w:p w14:paraId="1E7B3FFB">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楷体" w:hAnsi="楷体" w:eastAsia="楷体" w:cs="楷体"/>
          <w:b w:val="0"/>
          <w:bCs w:val="0"/>
          <w:color w:val="auto"/>
          <w:spacing w:val="0"/>
          <w:sz w:val="32"/>
          <w:szCs w:val="32"/>
          <w:shd w:val="clear" w:color="auto" w:fill="auto"/>
        </w:rPr>
      </w:pPr>
      <w:r>
        <w:rPr>
          <w:rFonts w:hint="eastAsia" w:ascii="楷体" w:hAnsi="楷体" w:eastAsia="楷体" w:cs="楷体"/>
          <w:b w:val="0"/>
          <w:bCs w:val="0"/>
          <w:color w:val="auto"/>
          <w:spacing w:val="0"/>
          <w:sz w:val="32"/>
          <w:szCs w:val="32"/>
          <w:shd w:val="clear" w:color="auto" w:fill="auto"/>
        </w:rPr>
        <w:t>（九）地质灾害治理经费要列入各级人民政府财政预算</w:t>
      </w:r>
    </w:p>
    <w:p w14:paraId="35B15E46">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jc w:val="both"/>
        <w:textAlignment w:val="auto"/>
        <w:rPr>
          <w:rFonts w:hint="eastAsia" w:ascii="仿宋_GB2312" w:hAnsi="仿宋_GB2312" w:eastAsia="仿宋_GB2312" w:cs="仿宋_GB2312"/>
          <w:b w:val="0"/>
          <w:bCs w:val="0"/>
          <w:color w:val="auto"/>
          <w:spacing w:val="0"/>
          <w:sz w:val="32"/>
          <w:szCs w:val="32"/>
          <w:shd w:val="clear" w:color="auto" w:fill="auto"/>
        </w:rPr>
      </w:pPr>
      <w:r>
        <w:rPr>
          <w:rFonts w:hint="eastAsia" w:ascii="仿宋_GB2312" w:hAnsi="仿宋_GB2312" w:eastAsia="仿宋_GB2312" w:cs="仿宋_GB2312"/>
          <w:b w:val="0"/>
          <w:bCs w:val="0"/>
          <w:color w:val="auto"/>
          <w:spacing w:val="0"/>
          <w:sz w:val="32"/>
          <w:szCs w:val="32"/>
          <w:shd w:val="clear" w:color="auto" w:fill="auto"/>
        </w:rPr>
        <w:t>要逐步建立地方政府地质灾害防治专项基金，充分调动社会各方面的积极性，建立多元化、多渠道的投资机制，鼓励社会援助，积极争取国家资助。</w:t>
      </w:r>
    </w:p>
    <w:p w14:paraId="0BB49AF4">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outlineLvl w:val="2"/>
        <w:rPr>
          <w:rFonts w:hint="eastAsia" w:ascii="黑体" w:hAnsi="黑体" w:eastAsia="黑体" w:cs="黑体"/>
          <w:b w:val="0"/>
          <w:bCs w:val="0"/>
          <w:color w:val="auto"/>
          <w:spacing w:val="0"/>
          <w:sz w:val="32"/>
          <w:szCs w:val="32"/>
          <w:shd w:val="clear" w:color="auto" w:fill="auto"/>
          <w:lang w:val="en-US" w:eastAsia="zh-CN"/>
        </w:rPr>
      </w:pPr>
      <w:r>
        <w:rPr>
          <w:rFonts w:hint="eastAsia" w:ascii="黑体" w:hAnsi="黑体" w:eastAsia="黑体" w:cs="黑体"/>
          <w:b w:val="0"/>
          <w:bCs w:val="0"/>
          <w:color w:val="auto"/>
          <w:spacing w:val="0"/>
          <w:sz w:val="32"/>
          <w:szCs w:val="32"/>
          <w:shd w:val="clear" w:color="auto" w:fill="auto"/>
          <w:lang w:val="en-US" w:eastAsia="zh-CN"/>
        </w:rPr>
        <w:t>七、强化责任追究和奖励制度</w:t>
      </w:r>
    </w:p>
    <w:p w14:paraId="4BA5B525">
      <w:pPr>
        <w:keepNext w:val="0"/>
        <w:keepLines w:val="0"/>
        <w:pageBreakBefore w:val="0"/>
        <w:widowControl w:val="0"/>
        <w:kinsoku/>
        <w:wordWrap/>
        <w:overflowPunct/>
        <w:topLinePunct/>
        <w:autoSpaceDE/>
        <w:autoSpaceDN/>
        <w:bidi w:val="0"/>
        <w:adjustRightInd w:val="0"/>
        <w:snapToGrid w:val="0"/>
        <w:spacing w:line="580" w:lineRule="exact"/>
        <w:ind w:left="0" w:right="0" w:firstLine="640" w:firstLineChars="200"/>
        <w:jc w:val="both"/>
        <w:textAlignment w:val="auto"/>
        <w:rPr>
          <w:rFonts w:hint="eastAsia" w:ascii="仿宋_GB2312" w:hAnsi="仿宋_GB2312" w:eastAsia="仿宋_GB2312" w:cs="仿宋_GB2312"/>
          <w:color w:val="auto"/>
          <w:sz w:val="32"/>
          <w:szCs w:val="32"/>
        </w:rPr>
        <w:sectPr>
          <w:headerReference r:id="rId5" w:type="default"/>
          <w:footerReference r:id="rId6" w:type="default"/>
          <w:pgSz w:w="11900" w:h="16840"/>
          <w:pgMar w:top="2098" w:right="1474" w:bottom="1984" w:left="1587" w:header="0" w:footer="1134" w:gutter="0"/>
          <w:pgNumType w:fmt="numberInDash" w:start="1"/>
          <w:cols w:space="720" w:num="1"/>
        </w:sectPr>
      </w:pPr>
      <w:r>
        <w:rPr>
          <w:rFonts w:hint="eastAsia" w:ascii="仿宋_GB2312" w:hAnsi="仿宋_GB2312" w:eastAsia="仿宋_GB2312" w:cs="仿宋_GB2312"/>
          <w:color w:val="auto"/>
          <w:spacing w:val="0"/>
          <w:sz w:val="32"/>
          <w:szCs w:val="32"/>
          <w:shd w:val="clear" w:color="auto" w:fill="auto"/>
        </w:rPr>
        <w:t>依据《地质灾害防治条例》（国务院令第394号），对没有按规定履行职责的有关单位和个人，因地质灾害造成人员伤亡和重大经济损失的，将追究相关行政和法律责任；对在地质灾害防治工作中做出突出贡献的单位和个人予以表彰奖</w:t>
      </w:r>
      <w:r>
        <w:rPr>
          <w:rFonts w:hint="eastAsia" w:ascii="仿宋_GB2312" w:hAnsi="仿宋_GB2312" w:eastAsia="仿宋_GB2312" w:cs="仿宋_GB2312"/>
          <w:color w:val="auto"/>
          <w:sz w:val="32"/>
          <w:szCs w:val="32"/>
        </w:rPr>
        <w:t>励。</w:t>
      </w:r>
    </w:p>
    <w:p w14:paraId="6743F299">
      <w:pPr>
        <w:keepNext w:val="0"/>
        <w:keepLines w:val="0"/>
        <w:pageBreakBefore w:val="0"/>
        <w:widowControl w:val="0"/>
        <w:kinsoku/>
        <w:wordWrap/>
        <w:overflowPunct/>
        <w:topLinePunct/>
        <w:autoSpaceDE/>
        <w:autoSpaceDN/>
        <w:bidi w:val="0"/>
        <w:adjustRightInd w:val="0"/>
        <w:snapToGrid w:val="0"/>
        <w:spacing w:line="580" w:lineRule="exact"/>
        <w:ind w:left="0" w:right="0" w:firstLine="672" w:firstLineChars="200"/>
        <w:jc w:val="left"/>
        <w:textAlignment w:val="auto"/>
        <w:outlineLvl w:val="2"/>
        <w:rPr>
          <w:rFonts w:hint="eastAsia" w:ascii="黑体" w:hAnsi="黑体" w:eastAsia="黑体" w:cs="黑体"/>
          <w:b w:val="0"/>
          <w:bCs w:val="0"/>
          <w:color w:val="auto"/>
          <w:spacing w:val="8"/>
          <w:sz w:val="32"/>
          <w:szCs w:val="32"/>
          <w:lang w:val="en-US" w:eastAsia="zh-CN"/>
        </w:rPr>
      </w:pPr>
      <w:r>
        <w:rPr>
          <w:rFonts w:hint="eastAsia" w:ascii="黑体" w:hAnsi="黑体" w:eastAsia="黑体" w:cs="黑体"/>
          <w:b w:val="0"/>
          <w:bCs w:val="0"/>
          <w:color w:val="auto"/>
          <w:spacing w:val="8"/>
          <w:sz w:val="32"/>
          <w:szCs w:val="32"/>
          <w:lang w:val="en-US" w:eastAsia="zh-CN"/>
        </w:rPr>
        <w:t>八、附则</w:t>
      </w:r>
    </w:p>
    <w:p w14:paraId="3FB25CBC">
      <w:pPr>
        <w:keepNext w:val="0"/>
        <w:keepLines w:val="0"/>
        <w:pageBreakBefore w:val="0"/>
        <w:widowControl w:val="0"/>
        <w:kinsoku/>
        <w:wordWrap/>
        <w:overflowPunct/>
        <w:topLinePunct/>
        <w:autoSpaceDE/>
        <w:autoSpaceDN/>
        <w:bidi w:val="0"/>
        <w:adjustRightInd w:val="0"/>
        <w:snapToGrid w:val="0"/>
        <w:spacing w:line="580" w:lineRule="exact"/>
        <w:ind w:right="0"/>
        <w:jc w:val="center"/>
        <w:textAlignment w:val="auto"/>
        <w:rPr>
          <w:rFonts w:hint="eastAsia" w:ascii="方正小标宋简体" w:hAnsi="方正小标宋简体" w:eastAsia="方正小标宋简体" w:cs="方正小标宋简体"/>
          <w:b w:val="0"/>
          <w:bCs w:val="0"/>
          <w:color w:val="auto"/>
          <w:spacing w:val="11"/>
          <w:sz w:val="44"/>
          <w:szCs w:val="44"/>
        </w:rPr>
      </w:pPr>
      <w:r>
        <w:rPr>
          <w:rFonts w:hint="eastAsia" w:ascii="方正小标宋简体" w:hAnsi="方正小标宋简体" w:eastAsia="方正小标宋简体" w:cs="方正小标宋简体"/>
          <w:b w:val="0"/>
          <w:bCs w:val="0"/>
          <w:color w:val="auto"/>
          <w:sz w:val="44"/>
          <w:szCs w:val="44"/>
          <w:lang w:val="en-US" w:eastAsia="zh-CN"/>
        </w:rPr>
        <w:t>赤峰市</w:t>
      </w:r>
      <w:r>
        <w:rPr>
          <w:rFonts w:hint="eastAsia" w:ascii="方正小标宋简体" w:hAnsi="方正小标宋简体" w:eastAsia="方正小标宋简体" w:cs="方正小标宋简体"/>
          <w:b w:val="0"/>
          <w:bCs w:val="0"/>
          <w:color w:val="auto"/>
          <w:sz w:val="44"/>
          <w:szCs w:val="44"/>
        </w:rPr>
        <w:t>元宝山区地质灾害防灾救灾工作</w:t>
      </w:r>
    </w:p>
    <w:p w14:paraId="68897C64">
      <w:pPr>
        <w:keepNext w:val="0"/>
        <w:keepLines w:val="0"/>
        <w:pageBreakBefore w:val="0"/>
        <w:widowControl w:val="0"/>
        <w:kinsoku/>
        <w:wordWrap/>
        <w:overflowPunct/>
        <w:topLinePunct/>
        <w:autoSpaceDE/>
        <w:autoSpaceDN/>
        <w:bidi w:val="0"/>
        <w:adjustRightInd w:val="0"/>
        <w:snapToGrid w:val="0"/>
        <w:spacing w:line="580" w:lineRule="exact"/>
        <w:ind w:right="0"/>
        <w:jc w:val="center"/>
        <w:textAlignment w:val="auto"/>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领导小组成员名单</w:t>
      </w:r>
    </w:p>
    <w:p w14:paraId="486A7294">
      <w:pPr>
        <w:keepNext w:val="0"/>
        <w:keepLines w:val="0"/>
        <w:pageBreakBefore w:val="0"/>
        <w:widowControl w:val="0"/>
        <w:kinsoku/>
        <w:wordWrap/>
        <w:overflowPunct/>
        <w:topLinePunct/>
        <w:autoSpaceDE/>
        <w:autoSpaceDN/>
        <w:bidi w:val="0"/>
        <w:adjustRightInd w:val="0"/>
        <w:snapToGrid w:val="0"/>
        <w:spacing w:line="580" w:lineRule="exact"/>
        <w:ind w:right="0"/>
        <w:jc w:val="center"/>
        <w:textAlignment w:val="auto"/>
        <w:rPr>
          <w:rFonts w:hint="eastAsia" w:ascii="方正小标宋简体" w:hAnsi="方正小标宋简体" w:eastAsia="方正小标宋简体" w:cs="方正小标宋简体"/>
          <w:b w:val="0"/>
          <w:bCs w:val="0"/>
          <w:color w:val="auto"/>
          <w:sz w:val="44"/>
          <w:szCs w:val="44"/>
        </w:rPr>
      </w:pPr>
    </w:p>
    <w:tbl>
      <w:tblPr>
        <w:tblStyle w:val="10"/>
        <w:tblW w:w="8297" w:type="dxa"/>
        <w:jc w:val="center"/>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autofit"/>
        <w:tblCellMar>
          <w:top w:w="0" w:type="dxa"/>
          <w:left w:w="0" w:type="dxa"/>
          <w:bottom w:w="0" w:type="dxa"/>
          <w:right w:w="0" w:type="dxa"/>
        </w:tblCellMar>
      </w:tblPr>
      <w:tblGrid>
        <w:gridCol w:w="2796"/>
        <w:gridCol w:w="5501"/>
      </w:tblGrid>
      <w:tr w14:paraId="1FB4D9B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0" w:type="auto"/>
            <w:vAlign w:val="center"/>
          </w:tcPr>
          <w:p w14:paraId="7F50158B">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default"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color w:val="auto"/>
                <w:spacing w:val="20"/>
                <w:sz w:val="32"/>
                <w:szCs w:val="32"/>
                <w:highlight w:val="yellow"/>
              </w:rPr>
              <w:t>组</w:t>
            </w:r>
            <w:r>
              <w:rPr>
                <w:rFonts w:hint="eastAsia" w:ascii="仿宋_GB2312" w:hAnsi="仿宋_GB2312" w:eastAsia="仿宋_GB2312" w:cs="仿宋_GB2312"/>
                <w:color w:val="auto"/>
                <w:spacing w:val="30"/>
                <w:sz w:val="32"/>
                <w:szCs w:val="32"/>
                <w:highlight w:val="yellow"/>
              </w:rPr>
              <w:t xml:space="preserve">  </w:t>
            </w:r>
            <w:r>
              <w:rPr>
                <w:rFonts w:hint="eastAsia" w:ascii="仿宋_GB2312" w:hAnsi="仿宋_GB2312" w:eastAsia="仿宋_GB2312" w:cs="仿宋_GB2312"/>
                <w:color w:val="auto"/>
                <w:spacing w:val="20"/>
                <w:sz w:val="32"/>
                <w:szCs w:val="32"/>
                <w:highlight w:val="yellow"/>
              </w:rPr>
              <w:t>长：</w:t>
            </w:r>
            <w:r>
              <w:rPr>
                <w:rFonts w:hint="eastAsia" w:ascii="仿宋_GB2312" w:hAnsi="仿宋_GB2312" w:eastAsia="仿宋_GB2312" w:cs="仿宋_GB2312"/>
                <w:color w:val="auto"/>
                <w:spacing w:val="20"/>
                <w:sz w:val="32"/>
                <w:szCs w:val="32"/>
                <w:highlight w:val="yellow"/>
                <w:lang w:eastAsia="zh-CN"/>
              </w:rPr>
              <w:t>李</w:t>
            </w:r>
            <w:r>
              <w:rPr>
                <w:rFonts w:hint="eastAsia" w:ascii="仿宋_GB2312" w:hAnsi="仿宋_GB2312" w:eastAsia="仿宋_GB2312" w:cs="仿宋_GB2312"/>
                <w:color w:val="auto"/>
                <w:spacing w:val="20"/>
                <w:sz w:val="32"/>
                <w:szCs w:val="32"/>
                <w:highlight w:val="yellow"/>
                <w:lang w:val="en-US" w:eastAsia="zh-CN"/>
              </w:rPr>
              <w:t xml:space="preserve">  伟</w:t>
            </w:r>
          </w:p>
        </w:tc>
        <w:tc>
          <w:tcPr>
            <w:tcW w:w="5501" w:type="dxa"/>
            <w:vAlign w:val="center"/>
          </w:tcPr>
          <w:p w14:paraId="5E9E7DE6">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1"/>
                <w:sz w:val="32"/>
                <w:szCs w:val="32"/>
                <w:highlight w:val="yellow"/>
                <w:lang w:val="en-US" w:eastAsia="zh-CN"/>
              </w:rPr>
              <w:t xml:space="preserve">       </w:t>
            </w:r>
            <w:r>
              <w:rPr>
                <w:rFonts w:hint="eastAsia" w:ascii="仿宋_GB2312" w:hAnsi="仿宋_GB2312" w:eastAsia="仿宋_GB2312" w:cs="仿宋_GB2312"/>
                <w:color w:val="auto"/>
                <w:spacing w:val="21"/>
                <w:sz w:val="32"/>
                <w:szCs w:val="32"/>
                <w:highlight w:val="yellow"/>
              </w:rPr>
              <w:t>区政府副区长</w:t>
            </w:r>
          </w:p>
        </w:tc>
      </w:tr>
      <w:tr w14:paraId="0B8EAF6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0" w:type="auto"/>
            <w:vAlign w:val="center"/>
          </w:tcPr>
          <w:p w14:paraId="3CD502B1">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default"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color w:val="auto"/>
                <w:spacing w:val="26"/>
                <w:sz w:val="32"/>
                <w:szCs w:val="32"/>
                <w:highlight w:val="yellow"/>
              </w:rPr>
              <w:t>副组长：李国志</w:t>
            </w:r>
            <w:r>
              <w:rPr>
                <w:rFonts w:hint="eastAsia" w:ascii="仿宋_GB2312" w:hAnsi="仿宋_GB2312" w:eastAsia="仿宋_GB2312" w:cs="仿宋_GB2312"/>
                <w:color w:val="auto"/>
                <w:spacing w:val="26"/>
                <w:sz w:val="32"/>
                <w:szCs w:val="32"/>
                <w:highlight w:val="yellow"/>
                <w:lang w:val="en-US" w:eastAsia="zh-CN"/>
              </w:rPr>
              <w:t xml:space="preserve">       </w:t>
            </w:r>
          </w:p>
        </w:tc>
        <w:tc>
          <w:tcPr>
            <w:tcW w:w="5501" w:type="dxa"/>
            <w:vAlign w:val="center"/>
          </w:tcPr>
          <w:p w14:paraId="4F2BDD43">
            <w:pPr>
              <w:pStyle w:val="11"/>
              <w:keepNext w:val="0"/>
              <w:keepLines w:val="0"/>
              <w:pageBreakBefore w:val="0"/>
              <w:widowControl w:val="0"/>
              <w:kinsoku/>
              <w:wordWrap/>
              <w:overflowPunct/>
              <w:topLinePunct/>
              <w:autoSpaceDE/>
              <w:autoSpaceDN/>
              <w:bidi w:val="0"/>
              <w:adjustRightInd w:val="0"/>
              <w:snapToGrid w:val="0"/>
              <w:spacing w:line="580" w:lineRule="exact"/>
              <w:ind w:left="0" w:leftChars="0" w:right="0" w:firstLine="1256" w:firstLineChars="351"/>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19"/>
                <w:sz w:val="32"/>
                <w:szCs w:val="32"/>
                <w:highlight w:val="yellow"/>
              </w:rPr>
              <w:t>区自然资源局局长</w:t>
            </w:r>
          </w:p>
        </w:tc>
      </w:tr>
      <w:tr w14:paraId="3B15B77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0" w:type="auto"/>
            <w:vAlign w:val="center"/>
          </w:tcPr>
          <w:p w14:paraId="6DA99A24">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0"/>
                <w:sz w:val="32"/>
                <w:szCs w:val="32"/>
                <w:highlight w:val="yellow"/>
                <w:lang w:val="en-US" w:eastAsia="zh-CN"/>
              </w:rPr>
              <w:t xml:space="preserve">        </w:t>
            </w:r>
            <w:r>
              <w:rPr>
                <w:rFonts w:hint="eastAsia" w:ascii="仿宋_GB2312" w:hAnsi="仿宋_GB2312" w:eastAsia="仿宋_GB2312" w:cs="仿宋_GB2312"/>
                <w:color w:val="auto"/>
                <w:spacing w:val="20"/>
                <w:sz w:val="32"/>
                <w:szCs w:val="32"/>
                <w:highlight w:val="yellow"/>
              </w:rPr>
              <w:t>郭景忠</w:t>
            </w:r>
          </w:p>
        </w:tc>
        <w:tc>
          <w:tcPr>
            <w:tcW w:w="5501" w:type="dxa"/>
            <w:vAlign w:val="center"/>
          </w:tcPr>
          <w:p w14:paraId="1688E5CD">
            <w:pPr>
              <w:pStyle w:val="11"/>
              <w:keepNext w:val="0"/>
              <w:keepLines w:val="0"/>
              <w:pageBreakBefore w:val="0"/>
              <w:widowControl w:val="0"/>
              <w:kinsoku/>
              <w:wordWrap/>
              <w:overflowPunct/>
              <w:topLinePunct/>
              <w:autoSpaceDE/>
              <w:autoSpaceDN/>
              <w:bidi w:val="0"/>
              <w:adjustRightInd w:val="0"/>
              <w:snapToGrid w:val="0"/>
              <w:spacing w:line="580" w:lineRule="exact"/>
              <w:ind w:left="0" w:leftChars="0" w:right="0" w:firstLine="1258" w:firstLineChars="342"/>
              <w:jc w:val="left"/>
              <w:textAlignment w:val="auto"/>
              <w:rPr>
                <w:rFonts w:hint="eastAsia" w:ascii="仿宋_GB2312" w:hAnsi="仿宋_GB2312" w:eastAsia="仿宋_GB2312" w:cs="仿宋_GB2312"/>
                <w:color w:val="auto"/>
                <w:sz w:val="32"/>
                <w:szCs w:val="32"/>
                <w:highlight w:val="yellow"/>
                <w:lang w:eastAsia="zh-CN"/>
              </w:rPr>
            </w:pPr>
            <w:r>
              <w:rPr>
                <w:rFonts w:hint="eastAsia" w:ascii="仿宋_GB2312" w:hAnsi="仿宋_GB2312" w:eastAsia="仿宋_GB2312" w:cs="仿宋_GB2312"/>
                <w:color w:val="auto"/>
                <w:spacing w:val="24"/>
                <w:sz w:val="32"/>
                <w:szCs w:val="32"/>
                <w:highlight w:val="yellow"/>
              </w:rPr>
              <w:t>平庄煤业</w:t>
            </w:r>
            <w:r>
              <w:rPr>
                <w:rFonts w:hint="eastAsia" w:ascii="仿宋_GB2312" w:hAnsi="仿宋_GB2312" w:eastAsia="仿宋_GB2312" w:cs="仿宋_GB2312"/>
                <w:color w:val="auto"/>
                <w:spacing w:val="24"/>
                <w:sz w:val="32"/>
                <w:szCs w:val="32"/>
                <w:highlight w:val="yellow"/>
                <w:lang w:eastAsia="zh-CN"/>
              </w:rPr>
              <w:t>董事长</w:t>
            </w:r>
          </w:p>
        </w:tc>
      </w:tr>
      <w:tr w14:paraId="2A66823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65" w:hRule="atLeast"/>
          <w:jc w:val="center"/>
        </w:trPr>
        <w:tc>
          <w:tcPr>
            <w:tcW w:w="0" w:type="auto"/>
            <w:vAlign w:val="center"/>
          </w:tcPr>
          <w:p w14:paraId="5F87759F">
            <w:pPr>
              <w:pStyle w:val="11"/>
              <w:keepNext w:val="0"/>
              <w:keepLines w:val="0"/>
              <w:pageBreakBefore w:val="0"/>
              <w:widowControl w:val="0"/>
              <w:tabs>
                <w:tab w:val="left" w:pos="2100"/>
              </w:tabs>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6"/>
                <w:sz w:val="32"/>
                <w:szCs w:val="32"/>
                <w:highlight w:val="yellow"/>
              </w:rPr>
              <w:t>成</w:t>
            </w:r>
            <w:r>
              <w:rPr>
                <w:rFonts w:hint="eastAsia" w:ascii="仿宋_GB2312" w:hAnsi="仿宋_GB2312" w:eastAsia="仿宋_GB2312" w:cs="仿宋_GB2312"/>
                <w:color w:val="auto"/>
                <w:spacing w:val="46"/>
                <w:sz w:val="32"/>
                <w:szCs w:val="32"/>
                <w:highlight w:val="yellow"/>
              </w:rPr>
              <w:t xml:space="preserve">  </w:t>
            </w:r>
            <w:r>
              <w:rPr>
                <w:rFonts w:hint="eastAsia" w:ascii="仿宋_GB2312" w:hAnsi="仿宋_GB2312" w:eastAsia="仿宋_GB2312" w:cs="仿宋_GB2312"/>
                <w:color w:val="auto"/>
                <w:spacing w:val="6"/>
                <w:sz w:val="32"/>
                <w:szCs w:val="32"/>
                <w:highlight w:val="yellow"/>
              </w:rPr>
              <w:t>员：李</w:t>
            </w:r>
            <w:r>
              <w:rPr>
                <w:rFonts w:hint="eastAsia" w:ascii="仿宋_GB2312" w:hAnsi="仿宋_GB2312" w:eastAsia="仿宋_GB2312" w:cs="仿宋_GB2312"/>
                <w:color w:val="auto"/>
                <w:spacing w:val="23"/>
                <w:sz w:val="32"/>
                <w:szCs w:val="32"/>
                <w:highlight w:val="yellow"/>
              </w:rPr>
              <w:t xml:space="preserve">  </w:t>
            </w:r>
            <w:r>
              <w:rPr>
                <w:rFonts w:hint="eastAsia" w:ascii="仿宋_GB2312" w:hAnsi="仿宋_GB2312" w:eastAsia="仿宋_GB2312" w:cs="仿宋_GB2312"/>
                <w:color w:val="auto"/>
                <w:spacing w:val="6"/>
                <w:sz w:val="32"/>
                <w:szCs w:val="32"/>
                <w:highlight w:val="yellow"/>
              </w:rPr>
              <w:t>峰</w:t>
            </w:r>
          </w:p>
        </w:tc>
        <w:tc>
          <w:tcPr>
            <w:tcW w:w="5501" w:type="dxa"/>
            <w:vAlign w:val="center"/>
          </w:tcPr>
          <w:p w14:paraId="532AB973">
            <w:pPr>
              <w:pStyle w:val="11"/>
              <w:keepNext w:val="0"/>
              <w:keepLines w:val="0"/>
              <w:pageBreakBefore w:val="0"/>
              <w:widowControl w:val="0"/>
              <w:kinsoku/>
              <w:wordWrap/>
              <w:overflowPunct/>
              <w:topLinePunct/>
              <w:autoSpaceDE/>
              <w:autoSpaceDN/>
              <w:bidi w:val="0"/>
              <w:adjustRightInd w:val="0"/>
              <w:snapToGrid w:val="0"/>
              <w:spacing w:line="580" w:lineRule="exact"/>
              <w:ind w:left="1260" w:leftChars="60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5"/>
                <w:sz w:val="32"/>
                <w:szCs w:val="32"/>
                <w:highlight w:val="yellow"/>
              </w:rPr>
              <w:t>区应急局副局长</w:t>
            </w:r>
          </w:p>
        </w:tc>
      </w:tr>
      <w:tr w14:paraId="53882F9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0" w:type="auto"/>
            <w:vAlign w:val="center"/>
          </w:tcPr>
          <w:p w14:paraId="3B17B65A">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15"/>
                <w:sz w:val="32"/>
                <w:szCs w:val="32"/>
                <w:highlight w:val="yellow"/>
                <w:lang w:val="en-US" w:eastAsia="zh-CN"/>
              </w:rPr>
              <w:t xml:space="preserve">        </w:t>
            </w:r>
            <w:r>
              <w:rPr>
                <w:rFonts w:hint="eastAsia" w:ascii="仿宋_GB2312" w:hAnsi="仿宋_GB2312" w:eastAsia="仿宋_GB2312" w:cs="仿宋_GB2312"/>
                <w:color w:val="auto"/>
                <w:spacing w:val="15"/>
                <w:sz w:val="32"/>
                <w:szCs w:val="32"/>
                <w:highlight w:val="yellow"/>
              </w:rPr>
              <w:t>李雪松</w:t>
            </w:r>
          </w:p>
        </w:tc>
        <w:tc>
          <w:tcPr>
            <w:tcW w:w="5501" w:type="dxa"/>
            <w:vAlign w:val="center"/>
          </w:tcPr>
          <w:p w14:paraId="53B07E72">
            <w:pPr>
              <w:pStyle w:val="11"/>
              <w:keepNext w:val="0"/>
              <w:keepLines w:val="0"/>
              <w:pageBreakBefore w:val="0"/>
              <w:widowControl w:val="0"/>
              <w:kinsoku/>
              <w:wordWrap/>
              <w:overflowPunct/>
              <w:topLinePunct/>
              <w:autoSpaceDE/>
              <w:autoSpaceDN/>
              <w:bidi w:val="0"/>
              <w:adjustRightInd w:val="0"/>
              <w:snapToGrid w:val="0"/>
              <w:spacing w:line="580" w:lineRule="exact"/>
              <w:ind w:left="1259" w:leftChars="0" w:right="0" w:hanging="1259" w:hangingChars="344"/>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3"/>
                <w:sz w:val="32"/>
                <w:szCs w:val="32"/>
                <w:highlight w:val="yellow"/>
                <w:lang w:val="en-US" w:eastAsia="zh-CN"/>
              </w:rPr>
              <w:t xml:space="preserve">       </w:t>
            </w:r>
            <w:r>
              <w:rPr>
                <w:rFonts w:hint="eastAsia" w:ascii="仿宋_GB2312" w:hAnsi="仿宋_GB2312" w:eastAsia="仿宋_GB2312" w:cs="仿宋_GB2312"/>
                <w:color w:val="auto"/>
                <w:spacing w:val="23"/>
                <w:sz w:val="32"/>
                <w:szCs w:val="32"/>
                <w:highlight w:val="yellow"/>
              </w:rPr>
              <w:t>区自然资源局副局长</w:t>
            </w:r>
          </w:p>
        </w:tc>
      </w:tr>
      <w:tr w14:paraId="3F22088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0" w:type="auto"/>
            <w:vAlign w:val="center"/>
          </w:tcPr>
          <w:p w14:paraId="2D792B3D">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15"/>
                <w:sz w:val="32"/>
                <w:szCs w:val="32"/>
                <w:highlight w:val="yellow"/>
                <w:lang w:val="en-US" w:eastAsia="zh-CN"/>
              </w:rPr>
              <w:t xml:space="preserve">        </w:t>
            </w:r>
            <w:r>
              <w:rPr>
                <w:rFonts w:hint="eastAsia" w:ascii="仿宋_GB2312" w:hAnsi="仿宋_GB2312" w:eastAsia="仿宋_GB2312" w:cs="仿宋_GB2312"/>
                <w:color w:val="auto"/>
                <w:spacing w:val="-11"/>
                <w:sz w:val="32"/>
                <w:szCs w:val="32"/>
                <w:highlight w:val="yellow"/>
              </w:rPr>
              <w:t>杨</w:t>
            </w:r>
            <w:r>
              <w:rPr>
                <w:rFonts w:hint="eastAsia" w:ascii="仿宋_GB2312" w:hAnsi="仿宋_GB2312" w:eastAsia="仿宋_GB2312" w:cs="仿宋_GB2312"/>
                <w:color w:val="auto"/>
                <w:spacing w:val="45"/>
                <w:sz w:val="32"/>
                <w:szCs w:val="32"/>
                <w:highlight w:val="yellow"/>
              </w:rPr>
              <w:t xml:space="preserve">  </w:t>
            </w:r>
            <w:r>
              <w:rPr>
                <w:rFonts w:hint="eastAsia" w:ascii="仿宋_GB2312" w:hAnsi="仿宋_GB2312" w:eastAsia="仿宋_GB2312" w:cs="仿宋_GB2312"/>
                <w:color w:val="auto"/>
                <w:spacing w:val="-11"/>
                <w:sz w:val="32"/>
                <w:szCs w:val="32"/>
                <w:highlight w:val="yellow"/>
              </w:rPr>
              <w:t>磊</w:t>
            </w:r>
          </w:p>
        </w:tc>
        <w:tc>
          <w:tcPr>
            <w:tcW w:w="5501" w:type="dxa"/>
            <w:vAlign w:val="center"/>
          </w:tcPr>
          <w:p w14:paraId="4699AB07">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0"/>
                <w:sz w:val="32"/>
                <w:szCs w:val="32"/>
                <w:highlight w:val="yellow"/>
                <w:lang w:val="en-US" w:eastAsia="zh-CN"/>
              </w:rPr>
              <w:t xml:space="preserve">       </w:t>
            </w:r>
            <w:r>
              <w:rPr>
                <w:rFonts w:hint="eastAsia" w:ascii="仿宋_GB2312" w:hAnsi="仿宋_GB2312" w:eastAsia="仿宋_GB2312" w:cs="仿宋_GB2312"/>
                <w:color w:val="auto"/>
                <w:spacing w:val="20"/>
                <w:sz w:val="32"/>
                <w:szCs w:val="32"/>
                <w:highlight w:val="yellow"/>
              </w:rPr>
              <w:t>区公安分局常务副局长</w:t>
            </w:r>
          </w:p>
        </w:tc>
      </w:tr>
      <w:tr w14:paraId="567A623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0" w:type="auto"/>
            <w:vAlign w:val="center"/>
          </w:tcPr>
          <w:p w14:paraId="2AF034EB">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default"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color w:val="auto"/>
                <w:spacing w:val="15"/>
                <w:sz w:val="32"/>
                <w:szCs w:val="32"/>
                <w:highlight w:val="yellow"/>
                <w:lang w:val="en-US" w:eastAsia="zh-CN"/>
              </w:rPr>
              <w:t xml:space="preserve">        </w:t>
            </w:r>
            <w:r>
              <w:rPr>
                <w:rFonts w:hint="eastAsia" w:ascii="仿宋_GB2312" w:hAnsi="仿宋_GB2312" w:eastAsia="仿宋_GB2312" w:cs="仿宋_GB2312"/>
                <w:color w:val="auto"/>
                <w:spacing w:val="29"/>
                <w:sz w:val="32"/>
                <w:szCs w:val="32"/>
                <w:highlight w:val="yellow"/>
                <w:lang w:eastAsia="zh-CN"/>
              </w:rPr>
              <w:t>卢</w:t>
            </w:r>
            <w:r>
              <w:rPr>
                <w:rFonts w:hint="eastAsia" w:ascii="仿宋_GB2312" w:hAnsi="仿宋_GB2312" w:eastAsia="仿宋_GB2312" w:cs="仿宋_GB2312"/>
                <w:color w:val="auto"/>
                <w:spacing w:val="29"/>
                <w:sz w:val="32"/>
                <w:szCs w:val="32"/>
                <w:highlight w:val="yellow"/>
                <w:lang w:val="en-US" w:eastAsia="zh-CN"/>
              </w:rPr>
              <w:t xml:space="preserve">  婧        </w:t>
            </w:r>
          </w:p>
        </w:tc>
        <w:tc>
          <w:tcPr>
            <w:tcW w:w="5501" w:type="dxa"/>
            <w:vAlign w:val="center"/>
          </w:tcPr>
          <w:p w14:paraId="7C5E34DC">
            <w:pPr>
              <w:pStyle w:val="11"/>
              <w:keepNext w:val="0"/>
              <w:keepLines w:val="0"/>
              <w:pageBreakBefore w:val="0"/>
              <w:widowControl w:val="0"/>
              <w:kinsoku/>
              <w:wordWrap/>
              <w:overflowPunct/>
              <w:topLinePunct/>
              <w:autoSpaceDE/>
              <w:autoSpaceDN/>
              <w:bidi w:val="0"/>
              <w:adjustRightInd w:val="0"/>
              <w:snapToGrid w:val="0"/>
              <w:spacing w:line="580" w:lineRule="exact"/>
              <w:ind w:left="1256" w:leftChars="598" w:right="0" w:firstLine="4"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7"/>
                <w:sz w:val="32"/>
                <w:szCs w:val="32"/>
                <w:highlight w:val="yellow"/>
              </w:rPr>
              <w:t>风水沟镇镇长</w:t>
            </w:r>
          </w:p>
        </w:tc>
      </w:tr>
      <w:tr w14:paraId="2AE2336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0" w:type="auto"/>
            <w:vAlign w:val="center"/>
          </w:tcPr>
          <w:p w14:paraId="39C23F19">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15"/>
                <w:sz w:val="32"/>
                <w:szCs w:val="32"/>
                <w:highlight w:val="yellow"/>
                <w:lang w:val="en-US" w:eastAsia="zh-CN"/>
              </w:rPr>
              <w:t xml:space="preserve">        </w:t>
            </w:r>
            <w:r>
              <w:rPr>
                <w:rFonts w:hint="eastAsia" w:ascii="仿宋_GB2312" w:hAnsi="仿宋_GB2312" w:eastAsia="仿宋_GB2312" w:cs="仿宋_GB2312"/>
                <w:color w:val="auto"/>
                <w:spacing w:val="-12"/>
                <w:sz w:val="32"/>
                <w:szCs w:val="32"/>
                <w:highlight w:val="yellow"/>
              </w:rPr>
              <w:t>赵</w:t>
            </w:r>
            <w:r>
              <w:rPr>
                <w:rFonts w:hint="eastAsia" w:ascii="仿宋_GB2312" w:hAnsi="仿宋_GB2312" w:eastAsia="仿宋_GB2312" w:cs="仿宋_GB2312"/>
                <w:color w:val="auto"/>
                <w:spacing w:val="16"/>
                <w:sz w:val="32"/>
                <w:szCs w:val="32"/>
                <w:highlight w:val="yellow"/>
              </w:rPr>
              <w:t xml:space="preserve">  </w:t>
            </w:r>
            <w:r>
              <w:rPr>
                <w:rFonts w:hint="eastAsia" w:ascii="仿宋_GB2312" w:hAnsi="仿宋_GB2312" w:eastAsia="仿宋_GB2312" w:cs="仿宋_GB2312"/>
                <w:color w:val="auto"/>
                <w:spacing w:val="-12"/>
                <w:sz w:val="32"/>
                <w:szCs w:val="32"/>
                <w:highlight w:val="yellow"/>
              </w:rPr>
              <w:t>凯</w:t>
            </w:r>
          </w:p>
        </w:tc>
        <w:tc>
          <w:tcPr>
            <w:tcW w:w="5501" w:type="dxa"/>
            <w:vAlign w:val="center"/>
          </w:tcPr>
          <w:p w14:paraId="58E3347E">
            <w:pPr>
              <w:pStyle w:val="11"/>
              <w:keepNext w:val="0"/>
              <w:keepLines w:val="0"/>
              <w:pageBreakBefore w:val="0"/>
              <w:widowControl w:val="0"/>
              <w:kinsoku/>
              <w:wordWrap/>
              <w:overflowPunct/>
              <w:topLinePunct/>
              <w:autoSpaceDE/>
              <w:autoSpaceDN/>
              <w:bidi w:val="0"/>
              <w:adjustRightInd w:val="0"/>
              <w:snapToGrid w:val="0"/>
              <w:spacing w:line="580" w:lineRule="exact"/>
              <w:ind w:left="1260" w:leftChars="60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7"/>
                <w:sz w:val="32"/>
                <w:szCs w:val="32"/>
                <w:highlight w:val="yellow"/>
              </w:rPr>
              <w:t>元宝山镇镇长</w:t>
            </w:r>
          </w:p>
        </w:tc>
      </w:tr>
      <w:tr w14:paraId="023DA6E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0" w:type="auto"/>
            <w:vAlign w:val="center"/>
          </w:tcPr>
          <w:p w14:paraId="0A968B0D">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lang w:eastAsia="zh-CN"/>
              </w:rPr>
            </w:pPr>
            <w:r>
              <w:rPr>
                <w:rFonts w:hint="eastAsia" w:ascii="仿宋_GB2312" w:hAnsi="仿宋_GB2312" w:eastAsia="仿宋_GB2312" w:cs="仿宋_GB2312"/>
                <w:color w:val="auto"/>
                <w:spacing w:val="15"/>
                <w:sz w:val="32"/>
                <w:szCs w:val="32"/>
                <w:highlight w:val="yellow"/>
                <w:lang w:val="en-US" w:eastAsia="zh-CN"/>
              </w:rPr>
              <w:t xml:space="preserve">        </w:t>
            </w:r>
            <w:r>
              <w:rPr>
                <w:rFonts w:hint="eastAsia" w:ascii="仿宋_GB2312" w:hAnsi="仿宋_GB2312" w:eastAsia="仿宋_GB2312" w:cs="仿宋_GB2312"/>
                <w:color w:val="auto"/>
                <w:spacing w:val="18"/>
                <w:sz w:val="32"/>
                <w:szCs w:val="32"/>
                <w:highlight w:val="yellow"/>
                <w:lang w:eastAsia="zh-CN"/>
              </w:rPr>
              <w:t>王树森</w:t>
            </w:r>
          </w:p>
        </w:tc>
        <w:tc>
          <w:tcPr>
            <w:tcW w:w="5501" w:type="dxa"/>
            <w:vAlign w:val="center"/>
          </w:tcPr>
          <w:p w14:paraId="089B5FAD">
            <w:pPr>
              <w:pStyle w:val="11"/>
              <w:keepNext w:val="0"/>
              <w:keepLines w:val="0"/>
              <w:pageBreakBefore w:val="0"/>
              <w:widowControl w:val="0"/>
              <w:kinsoku/>
              <w:wordWrap/>
              <w:overflowPunct/>
              <w:topLinePunct/>
              <w:autoSpaceDE/>
              <w:autoSpaceDN/>
              <w:bidi w:val="0"/>
              <w:adjustRightInd w:val="0"/>
              <w:snapToGrid w:val="0"/>
              <w:spacing w:line="580" w:lineRule="exact"/>
              <w:ind w:left="1260" w:leftChars="60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2"/>
                <w:sz w:val="32"/>
                <w:szCs w:val="32"/>
                <w:highlight w:val="yellow"/>
              </w:rPr>
              <w:t>美丽河镇镇长</w:t>
            </w:r>
          </w:p>
        </w:tc>
      </w:tr>
      <w:tr w14:paraId="4CB5A9C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0" w:type="auto"/>
            <w:vAlign w:val="center"/>
          </w:tcPr>
          <w:p w14:paraId="0B30472E">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15"/>
                <w:sz w:val="32"/>
                <w:szCs w:val="32"/>
                <w:highlight w:val="yellow"/>
                <w:lang w:val="en-US" w:eastAsia="zh-CN"/>
              </w:rPr>
              <w:t xml:space="preserve">        </w:t>
            </w:r>
            <w:r>
              <w:rPr>
                <w:rFonts w:hint="eastAsia" w:ascii="仿宋_GB2312" w:hAnsi="仿宋_GB2312" w:eastAsia="仿宋_GB2312" w:cs="仿宋_GB2312"/>
                <w:color w:val="auto"/>
                <w:spacing w:val="4"/>
                <w:sz w:val="32"/>
                <w:szCs w:val="32"/>
                <w:highlight w:val="yellow"/>
              </w:rPr>
              <w:t>韩大伟</w:t>
            </w:r>
          </w:p>
        </w:tc>
        <w:tc>
          <w:tcPr>
            <w:tcW w:w="5501" w:type="dxa"/>
            <w:vAlign w:val="center"/>
          </w:tcPr>
          <w:p w14:paraId="6945E0B4">
            <w:pPr>
              <w:pStyle w:val="11"/>
              <w:keepNext w:val="0"/>
              <w:keepLines w:val="0"/>
              <w:pageBreakBefore w:val="0"/>
              <w:widowControl w:val="0"/>
              <w:kinsoku/>
              <w:wordWrap/>
              <w:overflowPunct/>
              <w:topLinePunct/>
              <w:autoSpaceDE/>
              <w:autoSpaceDN/>
              <w:bidi w:val="0"/>
              <w:adjustRightInd w:val="0"/>
              <w:snapToGrid w:val="0"/>
              <w:spacing w:line="580" w:lineRule="exact"/>
              <w:ind w:left="1260" w:leftChars="60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4"/>
                <w:sz w:val="32"/>
                <w:szCs w:val="32"/>
                <w:highlight w:val="yellow"/>
              </w:rPr>
              <w:t>小五家乡乡长</w:t>
            </w:r>
          </w:p>
        </w:tc>
      </w:tr>
      <w:tr w14:paraId="283A213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0" w:type="auto"/>
            <w:vAlign w:val="center"/>
          </w:tcPr>
          <w:p w14:paraId="11A0DDE3">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lang w:eastAsia="zh-CN"/>
              </w:rPr>
            </w:pPr>
            <w:r>
              <w:rPr>
                <w:rFonts w:hint="eastAsia" w:ascii="仿宋_GB2312" w:hAnsi="仿宋_GB2312" w:eastAsia="仿宋_GB2312" w:cs="仿宋_GB2312"/>
                <w:color w:val="auto"/>
                <w:spacing w:val="15"/>
                <w:sz w:val="32"/>
                <w:szCs w:val="32"/>
                <w:highlight w:val="yellow"/>
                <w:lang w:val="en-US" w:eastAsia="zh-CN"/>
              </w:rPr>
              <w:t xml:space="preserve">        </w:t>
            </w:r>
            <w:r>
              <w:rPr>
                <w:rFonts w:hint="eastAsia" w:ascii="仿宋_GB2312" w:hAnsi="仿宋_GB2312" w:eastAsia="仿宋_GB2312" w:cs="仿宋_GB2312"/>
                <w:color w:val="auto"/>
                <w:spacing w:val="15"/>
                <w:sz w:val="32"/>
                <w:szCs w:val="32"/>
                <w:highlight w:val="yellow"/>
                <w:lang w:eastAsia="zh-CN"/>
              </w:rPr>
              <w:t>姜玉鑫</w:t>
            </w:r>
          </w:p>
        </w:tc>
        <w:tc>
          <w:tcPr>
            <w:tcW w:w="5501" w:type="dxa"/>
            <w:vAlign w:val="center"/>
          </w:tcPr>
          <w:p w14:paraId="4ABF0682">
            <w:pPr>
              <w:pStyle w:val="11"/>
              <w:keepNext w:val="0"/>
              <w:keepLines w:val="0"/>
              <w:pageBreakBefore w:val="0"/>
              <w:widowControl w:val="0"/>
              <w:kinsoku/>
              <w:wordWrap/>
              <w:overflowPunct/>
              <w:topLinePunct/>
              <w:autoSpaceDE/>
              <w:autoSpaceDN/>
              <w:bidi w:val="0"/>
              <w:adjustRightInd w:val="0"/>
              <w:snapToGrid w:val="0"/>
              <w:spacing w:line="580" w:lineRule="exact"/>
              <w:ind w:left="1260" w:leftChars="60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3"/>
                <w:sz w:val="32"/>
                <w:szCs w:val="32"/>
                <w:highlight w:val="yellow"/>
              </w:rPr>
              <w:t>平庄镇镇长</w:t>
            </w:r>
          </w:p>
        </w:tc>
      </w:tr>
      <w:tr w14:paraId="49D7AE9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0" w:type="auto"/>
            <w:vAlign w:val="center"/>
          </w:tcPr>
          <w:p w14:paraId="043A390C">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15"/>
                <w:sz w:val="32"/>
                <w:szCs w:val="32"/>
                <w:highlight w:val="yellow"/>
                <w:lang w:val="en-US" w:eastAsia="zh-CN"/>
              </w:rPr>
              <w:t xml:space="preserve">        </w:t>
            </w:r>
            <w:r>
              <w:rPr>
                <w:rFonts w:hint="eastAsia" w:ascii="仿宋_GB2312" w:hAnsi="仿宋_GB2312" w:eastAsia="仿宋_GB2312" w:cs="仿宋_GB2312"/>
                <w:color w:val="auto"/>
                <w:spacing w:val="16"/>
                <w:sz w:val="32"/>
                <w:szCs w:val="32"/>
                <w:highlight w:val="yellow"/>
              </w:rPr>
              <w:t>丛日昕</w:t>
            </w:r>
          </w:p>
        </w:tc>
        <w:tc>
          <w:tcPr>
            <w:tcW w:w="5501" w:type="dxa"/>
            <w:vAlign w:val="center"/>
          </w:tcPr>
          <w:p w14:paraId="46F0DA0C">
            <w:pPr>
              <w:pStyle w:val="11"/>
              <w:keepNext w:val="0"/>
              <w:keepLines w:val="0"/>
              <w:pageBreakBefore w:val="0"/>
              <w:widowControl w:val="0"/>
              <w:kinsoku/>
              <w:wordWrap/>
              <w:overflowPunct/>
              <w:topLinePunct/>
              <w:autoSpaceDE/>
              <w:autoSpaceDN/>
              <w:bidi w:val="0"/>
              <w:adjustRightInd w:val="0"/>
              <w:snapToGrid w:val="0"/>
              <w:spacing w:line="580" w:lineRule="exact"/>
              <w:ind w:left="1260" w:leftChars="60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19"/>
                <w:sz w:val="32"/>
                <w:szCs w:val="32"/>
                <w:highlight w:val="yellow"/>
              </w:rPr>
              <w:t>五家镇镇长</w:t>
            </w:r>
          </w:p>
        </w:tc>
      </w:tr>
      <w:tr w14:paraId="07942EB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0" w:hRule="atLeast"/>
          <w:jc w:val="center"/>
        </w:trPr>
        <w:tc>
          <w:tcPr>
            <w:tcW w:w="2796" w:type="dxa"/>
            <w:vAlign w:val="center"/>
          </w:tcPr>
          <w:p w14:paraId="49F7FFEF">
            <w:pPr>
              <w:pStyle w:val="11"/>
              <w:keepNext w:val="0"/>
              <w:keepLines w:val="0"/>
              <w:pageBreakBefore w:val="0"/>
              <w:widowControl w:val="0"/>
              <w:kinsoku/>
              <w:wordWrap/>
              <w:overflowPunct/>
              <w:topLinePunct/>
              <w:autoSpaceDE/>
              <w:autoSpaceDN/>
              <w:bidi w:val="0"/>
              <w:adjustRightInd w:val="0"/>
              <w:snapToGrid w:val="0"/>
              <w:spacing w:line="580" w:lineRule="exact"/>
              <w:ind w:left="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15"/>
                <w:sz w:val="32"/>
                <w:szCs w:val="32"/>
                <w:highlight w:val="yellow"/>
                <w:lang w:val="en-US" w:eastAsia="zh-CN"/>
              </w:rPr>
              <w:t xml:space="preserve">        </w:t>
            </w:r>
            <w:r>
              <w:rPr>
                <w:rFonts w:hint="eastAsia" w:ascii="仿宋_GB2312" w:hAnsi="仿宋_GB2312" w:eastAsia="仿宋_GB2312" w:cs="仿宋_GB2312"/>
                <w:color w:val="auto"/>
                <w:spacing w:val="9"/>
                <w:sz w:val="32"/>
                <w:szCs w:val="32"/>
                <w:highlight w:val="yellow"/>
              </w:rPr>
              <w:t>王永刚</w:t>
            </w:r>
          </w:p>
        </w:tc>
        <w:tc>
          <w:tcPr>
            <w:tcW w:w="5501" w:type="dxa"/>
            <w:vAlign w:val="center"/>
          </w:tcPr>
          <w:p w14:paraId="277B1A2B">
            <w:pPr>
              <w:pStyle w:val="11"/>
              <w:keepNext w:val="0"/>
              <w:keepLines w:val="0"/>
              <w:pageBreakBefore w:val="0"/>
              <w:widowControl w:val="0"/>
              <w:kinsoku/>
              <w:wordWrap/>
              <w:overflowPunct/>
              <w:topLinePunct/>
              <w:autoSpaceDE/>
              <w:autoSpaceDN/>
              <w:bidi w:val="0"/>
              <w:adjustRightInd w:val="0"/>
              <w:snapToGrid w:val="0"/>
              <w:spacing w:line="580" w:lineRule="exact"/>
              <w:ind w:left="1260" w:leftChars="600" w:right="0" w:firstLine="0" w:firstLineChars="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2"/>
                <w:sz w:val="32"/>
                <w:szCs w:val="32"/>
                <w:highlight w:val="yellow"/>
              </w:rPr>
              <w:t>平庄煤业资源环</w:t>
            </w:r>
            <w:bookmarkStart w:id="0" w:name="_GoBack"/>
            <w:bookmarkEnd w:id="0"/>
            <w:r>
              <w:rPr>
                <w:rFonts w:hint="eastAsia" w:ascii="仿宋_GB2312" w:hAnsi="仿宋_GB2312" w:eastAsia="仿宋_GB2312" w:cs="仿宋_GB2312"/>
                <w:color w:val="auto"/>
                <w:spacing w:val="22"/>
                <w:sz w:val="32"/>
                <w:szCs w:val="32"/>
                <w:highlight w:val="yellow"/>
              </w:rPr>
              <w:t>保部主任</w:t>
            </w:r>
          </w:p>
        </w:tc>
      </w:tr>
    </w:tbl>
    <w:p w14:paraId="47968725">
      <w:pPr>
        <w:keepNext w:val="0"/>
        <w:keepLines w:val="0"/>
        <w:pageBreakBefore w:val="0"/>
        <w:widowControl w:val="0"/>
        <w:kinsoku/>
        <w:wordWrap/>
        <w:overflowPunct/>
        <w:topLinePunct/>
        <w:autoSpaceDE/>
        <w:autoSpaceDN/>
        <w:bidi w:val="0"/>
        <w:adjustRightInd w:val="0"/>
        <w:snapToGrid w:val="0"/>
        <w:spacing w:line="580" w:lineRule="exact"/>
        <w:ind w:left="0" w:right="0" w:firstLine="724"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1"/>
          <w:sz w:val="32"/>
          <w:szCs w:val="32"/>
        </w:rPr>
        <w:t>领导小组办公室设在区自然资源局，办公室主任由李雪松兼</w:t>
      </w:r>
      <w:r>
        <w:rPr>
          <w:rFonts w:hint="eastAsia" w:ascii="仿宋_GB2312" w:hAnsi="仿宋_GB2312" w:eastAsia="仿宋_GB2312" w:cs="仿宋_GB2312"/>
          <w:color w:val="auto"/>
          <w:spacing w:val="16"/>
          <w:sz w:val="32"/>
          <w:szCs w:val="32"/>
        </w:rPr>
        <w:t>任，联系电话：</w:t>
      </w:r>
    </w:p>
    <w:p w14:paraId="758BFF90">
      <w:pPr>
        <w:keepNext w:val="0"/>
        <w:keepLines w:val="0"/>
        <w:pageBreakBefore w:val="0"/>
        <w:widowControl w:val="0"/>
        <w:kinsoku/>
        <w:wordWrap/>
        <w:overflowPunct/>
        <w:topLinePunct/>
        <w:autoSpaceDE/>
        <w:autoSpaceDN/>
        <w:bidi w:val="0"/>
        <w:adjustRightInd w:val="0"/>
        <w:snapToGrid w:val="0"/>
        <w:spacing w:line="580" w:lineRule="exact"/>
        <w:ind w:left="0" w:right="0" w:firstLine="716" w:firstLineChars="20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19"/>
          <w:sz w:val="32"/>
          <w:szCs w:val="32"/>
          <w:highlight w:val="yellow"/>
        </w:rPr>
        <w:t>区自然资源局综合股0476-35104</w:t>
      </w:r>
      <w:r>
        <w:rPr>
          <w:rFonts w:hint="eastAsia" w:ascii="仿宋_GB2312" w:hAnsi="仿宋_GB2312" w:eastAsia="仿宋_GB2312" w:cs="仿宋_GB2312"/>
          <w:color w:val="auto"/>
          <w:spacing w:val="18"/>
          <w:sz w:val="32"/>
          <w:szCs w:val="32"/>
          <w:highlight w:val="yellow"/>
        </w:rPr>
        <w:t>42;</w:t>
      </w:r>
    </w:p>
    <w:p w14:paraId="72F68E03">
      <w:pPr>
        <w:keepNext w:val="0"/>
        <w:keepLines w:val="0"/>
        <w:pageBreakBefore w:val="0"/>
        <w:widowControl w:val="0"/>
        <w:kinsoku/>
        <w:wordWrap/>
        <w:overflowPunct/>
        <w:topLinePunct/>
        <w:autoSpaceDE/>
        <w:autoSpaceDN/>
        <w:bidi w:val="0"/>
        <w:adjustRightInd w:val="0"/>
        <w:snapToGrid w:val="0"/>
        <w:spacing w:line="580" w:lineRule="exact"/>
        <w:ind w:left="0" w:right="0" w:firstLine="716" w:firstLineChars="20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19"/>
          <w:sz w:val="32"/>
          <w:szCs w:val="32"/>
          <w:highlight w:val="yellow"/>
        </w:rPr>
        <w:t>区自然资源局地质矿产管理股0476-3511408;</w:t>
      </w:r>
    </w:p>
    <w:p w14:paraId="77F5D26D">
      <w:pPr>
        <w:keepNext w:val="0"/>
        <w:keepLines w:val="0"/>
        <w:pageBreakBefore w:val="0"/>
        <w:widowControl w:val="0"/>
        <w:kinsoku/>
        <w:wordWrap/>
        <w:overflowPunct/>
        <w:topLinePunct/>
        <w:autoSpaceDE/>
        <w:autoSpaceDN/>
        <w:bidi w:val="0"/>
        <w:adjustRightInd w:val="0"/>
        <w:snapToGrid w:val="0"/>
        <w:spacing w:line="580" w:lineRule="exact"/>
        <w:ind w:left="0" w:right="0" w:firstLine="728" w:firstLineChars="200"/>
        <w:jc w:val="lef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pacing w:val="22"/>
          <w:sz w:val="32"/>
          <w:szCs w:val="32"/>
          <w:highlight w:val="yellow"/>
        </w:rPr>
        <w:t>区自然资源局李雪松1594760980</w:t>
      </w:r>
      <w:r>
        <w:rPr>
          <w:rFonts w:hint="eastAsia" w:ascii="仿宋_GB2312" w:hAnsi="仿宋_GB2312" w:eastAsia="仿宋_GB2312" w:cs="仿宋_GB2312"/>
          <w:color w:val="auto"/>
          <w:spacing w:val="21"/>
          <w:sz w:val="32"/>
          <w:szCs w:val="32"/>
          <w:highlight w:val="yellow"/>
        </w:rPr>
        <w:t>4;</w:t>
      </w:r>
    </w:p>
    <w:p w14:paraId="59186826">
      <w:pPr>
        <w:keepNext w:val="0"/>
        <w:keepLines w:val="0"/>
        <w:pageBreakBefore w:val="0"/>
        <w:widowControl w:val="0"/>
        <w:kinsoku/>
        <w:wordWrap/>
        <w:overflowPunct/>
        <w:topLinePunct/>
        <w:autoSpaceDE/>
        <w:autoSpaceDN/>
        <w:bidi w:val="0"/>
        <w:adjustRightInd w:val="0"/>
        <w:snapToGrid w:val="0"/>
        <w:spacing w:line="580" w:lineRule="exact"/>
        <w:ind w:left="0" w:right="0" w:firstLine="712" w:firstLineChars="200"/>
        <w:jc w:val="left"/>
        <w:textAlignment w:val="auto"/>
        <w:rPr>
          <w:rFonts w:hint="eastAsia" w:ascii="仿宋_GB2312" w:hAnsi="仿宋_GB2312" w:eastAsia="仿宋_GB2312" w:cs="仿宋_GB2312"/>
          <w:color w:val="auto"/>
          <w:spacing w:val="18"/>
          <w:sz w:val="32"/>
          <w:szCs w:val="32"/>
          <w:highlight w:val="yellow"/>
        </w:rPr>
      </w:pPr>
      <w:r>
        <w:rPr>
          <w:rFonts w:hint="eastAsia" w:ascii="仿宋_GB2312" w:hAnsi="仿宋_GB2312" w:eastAsia="仿宋_GB2312" w:cs="仿宋_GB2312"/>
          <w:color w:val="auto"/>
          <w:spacing w:val="18"/>
          <w:sz w:val="32"/>
          <w:szCs w:val="32"/>
          <w:highlight w:val="yellow"/>
        </w:rPr>
        <w:t>区自然资源局张庆富13947682832。</w:t>
      </w:r>
    </w:p>
    <w:p w14:paraId="6CA2000E">
      <w:pPr>
        <w:keepNext w:val="0"/>
        <w:keepLines w:val="0"/>
        <w:pageBreakBefore w:val="0"/>
        <w:widowControl w:val="0"/>
        <w:kinsoku/>
        <w:wordWrap/>
        <w:overflowPunct/>
        <w:topLinePunct/>
        <w:autoSpaceDE/>
        <w:autoSpaceDN/>
        <w:bidi w:val="0"/>
        <w:adjustRightInd w:val="0"/>
        <w:snapToGrid w:val="0"/>
        <w:spacing w:line="580" w:lineRule="exact"/>
        <w:ind w:left="0" w:right="0" w:firstLine="712" w:firstLineChars="200"/>
        <w:jc w:val="left"/>
        <w:textAlignment w:val="auto"/>
        <w:rPr>
          <w:rFonts w:hint="eastAsia" w:ascii="仿宋_GB2312" w:hAnsi="仿宋_GB2312" w:eastAsia="仿宋_GB2312" w:cs="仿宋_GB2312"/>
          <w:color w:val="auto"/>
          <w:spacing w:val="18"/>
          <w:sz w:val="32"/>
          <w:szCs w:val="32"/>
          <w:highlight w:val="yellow"/>
        </w:rPr>
      </w:pPr>
    </w:p>
    <w:sectPr>
      <w:footerReference r:id="rId7" w:type="default"/>
      <w:pgSz w:w="11900" w:h="16840"/>
      <w:pgMar w:top="1440" w:right="1800" w:bottom="1440" w:left="1800" w:header="0" w:footer="1134" w:gutter="0"/>
      <w:pgNumType w:fmt="numberInDash"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0AB6E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47ED03">
                          <w:pPr>
                            <w:pStyle w:val="4"/>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E47ED03">
                    <w:pPr>
                      <w:pStyle w:val="4"/>
                      <w:rPr>
                        <w:rFonts w:hint="eastAsia" w:ascii="仿宋" w:hAnsi="仿宋" w:eastAsia="仿宋" w:cs="仿宋"/>
                        <w:sz w:val="24"/>
                        <w:szCs w:val="24"/>
                      </w:rPr>
                    </w:pPr>
                    <w:r>
                      <w:rPr>
                        <w:rFonts w:hint="eastAsia" w:ascii="仿宋" w:hAnsi="仿宋" w:eastAsia="仿宋" w:cs="仿宋"/>
                        <w:sz w:val="24"/>
                        <w:szCs w:val="24"/>
                      </w:rPr>
                      <w:fldChar w:fldCharType="begin"/>
                    </w:r>
                    <w:r>
                      <w:rPr>
                        <w:rFonts w:hint="eastAsia" w:ascii="仿宋" w:hAnsi="仿宋" w:eastAsia="仿宋" w:cs="仿宋"/>
                        <w:sz w:val="24"/>
                        <w:szCs w:val="24"/>
                      </w:rPr>
                      <w:instrText xml:space="preserve"> PAGE  \* MERGEFORMAT </w:instrText>
                    </w:r>
                    <w:r>
                      <w:rPr>
                        <w:rFonts w:hint="eastAsia" w:ascii="仿宋" w:hAnsi="仿宋" w:eastAsia="仿宋" w:cs="仿宋"/>
                        <w:sz w:val="24"/>
                        <w:szCs w:val="24"/>
                      </w:rPr>
                      <w:fldChar w:fldCharType="separate"/>
                    </w:r>
                    <w:r>
                      <w:rPr>
                        <w:rFonts w:hint="eastAsia" w:ascii="仿宋" w:hAnsi="仿宋" w:eastAsia="仿宋" w:cs="仿宋"/>
                        <w:sz w:val="24"/>
                        <w:szCs w:val="24"/>
                      </w:rPr>
                      <w:t>1</w:t>
                    </w:r>
                    <w:r>
                      <w:rPr>
                        <w:rFonts w:hint="eastAsia" w:ascii="仿宋" w:hAnsi="仿宋" w:eastAsia="仿宋" w:cs="仿宋"/>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CD0AE">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44D95">
    <w:pPr>
      <w:pStyle w:val="3"/>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1A577E5"/>
    <w:rsid w:val="07893F2F"/>
    <w:rsid w:val="0DB7015A"/>
    <w:rsid w:val="15775D23"/>
    <w:rsid w:val="15A846DE"/>
    <w:rsid w:val="175B1612"/>
    <w:rsid w:val="1B7160EE"/>
    <w:rsid w:val="1E5640B8"/>
    <w:rsid w:val="1E9C7163"/>
    <w:rsid w:val="23651C9F"/>
    <w:rsid w:val="3C082BA7"/>
    <w:rsid w:val="3DAA3151"/>
    <w:rsid w:val="4B06733D"/>
    <w:rsid w:val="4F671EFC"/>
    <w:rsid w:val="51A80602"/>
    <w:rsid w:val="55CD2CF8"/>
    <w:rsid w:val="5C861BD9"/>
    <w:rsid w:val="67095D94"/>
    <w:rsid w:val="69904B32"/>
    <w:rsid w:val="6C3A69EF"/>
    <w:rsid w:val="6E4B6691"/>
    <w:rsid w:val="79EF47ED"/>
    <w:rsid w:val="7BE369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page number"/>
    <w:qFormat/>
    <w:uiPriority w:val="0"/>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仿宋" w:hAnsi="仿宋" w:eastAsia="仿宋" w:cs="仿宋"/>
      <w:sz w:val="29"/>
      <w:szCs w:val="2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8224</Words>
  <Characters>8355</Characters>
  <TotalTime>17</TotalTime>
  <ScaleCrop>false</ScaleCrop>
  <LinksUpToDate>false</LinksUpToDate>
  <CharactersWithSpaces>8488</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2026-04-27T09:56:00Z</dcterms:created>
  <dc:creator>Administrator</dc:creator>
  <cp:lastModifiedBy>”﹏so、小布点</cp:lastModifiedBy>
  <cp:lastPrinted>2026-06-10T01:21:09Z</cp:lastPrinted>
  <dcterms:modified xsi:type="dcterms:W3CDTF">2026-06-10T01:23:23Z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2026-04-27T09:56:19Z</vt:filetime>
  </property>
  <property fmtid="{D5CDD505-2E9C-101B-9397-08002B2CF9AE}" pid="4" name="UsrData">
    <vt:lpwstr>69eec23e259dfc001f4d0e0cwl</vt:lpwstr>
  </property>
  <property fmtid="{D5CDD505-2E9C-101B-9397-08002B2CF9AE}" pid="5" name="KSOTemplateDocerSaveRecord">
    <vt:lpwstr>eyJoZGlkIjoiNGRjZWM0MjUxOWE3ZjMyMDQ4NGRkMDM5OWQxYmEwNWMiLCJ1c2VySWQiOiIyNzc5ODgwNDgifQ==</vt:lpwstr>
  </property>
  <property fmtid="{D5CDD505-2E9C-101B-9397-08002B2CF9AE}" pid="6" name="KSOProductBuildVer">
    <vt:lpwstr>2052-12.1.0.26895</vt:lpwstr>
  </property>
  <property fmtid="{D5CDD505-2E9C-101B-9397-08002B2CF9AE}" pid="7" name="ICV">
    <vt:lpwstr>ED0EFDFBC80D4480ACC93A52345889E8_13</vt:lpwstr>
  </property>
</Properties>
</file>