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3DE8DF">
      <w:pPr>
        <w:keepNext/>
        <w:keepLines w:val="0"/>
        <w:pageBreakBefore w:val="0"/>
        <w:widowControl/>
        <w:kinsoku w:val="0"/>
        <w:wordWrap/>
        <w:overflowPunct/>
        <w:topLinePunct w:val="0"/>
        <w:autoSpaceDE w:val="0"/>
        <w:autoSpaceDN w:val="0"/>
        <w:bidi w:val="0"/>
        <w:adjustRightInd w:val="0"/>
        <w:snapToGrid w:val="0"/>
        <w:spacing w:before="195" w:line="225" w:lineRule="auto"/>
        <w:textAlignment w:val="baseline"/>
        <w:rPr>
          <w:rFonts w:hint="eastAsia" w:ascii="仿宋" w:hAnsi="仿宋" w:eastAsia="仿宋" w:cs="仿宋"/>
          <w:sz w:val="32"/>
          <w:szCs w:val="32"/>
        </w:rPr>
      </w:pPr>
      <w:bookmarkStart w:id="0" w:name="_GoBack"/>
      <w:bookmarkEnd w:id="0"/>
      <w:r>
        <w:rPr>
          <w:rFonts w:hint="eastAsia" w:ascii="仿宋" w:hAnsi="仿宋" w:eastAsia="仿宋" w:cs="仿宋"/>
          <w:spacing w:val="12"/>
          <w:sz w:val="32"/>
          <w:szCs w:val="32"/>
        </w:rPr>
        <w:t>附件1</w:t>
      </w:r>
    </w:p>
    <w:p w14:paraId="526FE3C9">
      <w:pPr>
        <w:pStyle w:val="2"/>
        <w:keepNext/>
        <w:keepLines w:val="0"/>
        <w:pageBreakBefore w:val="0"/>
        <w:widowControl/>
        <w:kinsoku w:val="0"/>
        <w:wordWrap/>
        <w:overflowPunct/>
        <w:topLinePunct w:val="0"/>
        <w:autoSpaceDE w:val="0"/>
        <w:autoSpaceDN w:val="0"/>
        <w:bidi w:val="0"/>
        <w:adjustRightInd w:val="0"/>
        <w:snapToGrid w:val="0"/>
        <w:spacing w:line="253" w:lineRule="auto"/>
        <w:textAlignment w:val="baseline"/>
        <w:rPr>
          <w:rFonts w:hint="eastAsia" w:ascii="仿宋" w:hAnsi="仿宋" w:eastAsia="仿宋" w:cs="仿宋"/>
          <w:sz w:val="32"/>
          <w:szCs w:val="32"/>
        </w:rPr>
      </w:pPr>
    </w:p>
    <w:p w14:paraId="6BBFD434">
      <w:pPr>
        <w:keepNext/>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lang w:val="en-US" w:eastAsia="zh-CN"/>
        </w:rPr>
        <w:t>G4515大广高速公路赤峰至绥中联络线赤峰至凌源（蒙辽界）公路工程建设项目元宝山区段国有土地</w:t>
      </w:r>
      <w:r>
        <w:rPr>
          <w:rFonts w:hint="eastAsia" w:ascii="方正小标宋_GBK" w:hAnsi="方正小标宋_GBK" w:eastAsia="方正小标宋_GBK" w:cs="方正小标宋_GBK"/>
          <w:sz w:val="44"/>
          <w:szCs w:val="44"/>
        </w:rPr>
        <w:t>上房屋征收补偿安置方案</w:t>
      </w:r>
    </w:p>
    <w:p w14:paraId="327A456B">
      <w:pPr>
        <w:keepNext/>
        <w:keepLines w:val="0"/>
        <w:pageBreakBefore w:val="0"/>
        <w:widowControl/>
        <w:kinsoku w:val="0"/>
        <w:wordWrap/>
        <w:overflowPunct/>
        <w:topLinePunct w:val="0"/>
        <w:autoSpaceDE w:val="0"/>
        <w:autoSpaceDN w:val="0"/>
        <w:bidi w:val="0"/>
        <w:adjustRightInd w:val="0"/>
        <w:snapToGrid w:val="0"/>
        <w:jc w:val="left"/>
        <w:textAlignment w:val="baseline"/>
        <w:rPr>
          <w:rFonts w:hint="eastAsia" w:ascii="仿宋" w:hAnsi="仿宋" w:eastAsia="仿宋" w:cs="仿宋"/>
          <w:sz w:val="32"/>
          <w:szCs w:val="32"/>
          <w:lang w:eastAsia="zh-CN"/>
        </w:rPr>
      </w:pPr>
    </w:p>
    <w:p w14:paraId="7EF98898">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G4515大广高速公路赤峰至绥中联络线赤峰至凌源</w:t>
      </w:r>
      <w:r>
        <w:rPr>
          <w:rFonts w:hint="eastAsia" w:ascii="仿宋" w:hAnsi="仿宋" w:eastAsia="仿宋" w:cs="仿宋"/>
          <w:color w:val="auto"/>
          <w:sz w:val="32"/>
          <w:szCs w:val="32"/>
          <w:highlight w:val="none"/>
          <w:lang w:eastAsia="zh-CN"/>
        </w:rPr>
        <w:t>（蒙辽界）</w:t>
      </w:r>
      <w:r>
        <w:rPr>
          <w:rFonts w:hint="eastAsia" w:ascii="仿宋" w:hAnsi="仿宋" w:eastAsia="仿宋" w:cs="仿宋"/>
          <w:color w:val="auto"/>
          <w:sz w:val="32"/>
          <w:szCs w:val="32"/>
          <w:highlight w:val="none"/>
        </w:rPr>
        <w:t>公路工程建设项目</w:t>
      </w:r>
      <w:r>
        <w:rPr>
          <w:rFonts w:hint="eastAsia" w:ascii="仿宋" w:hAnsi="仿宋" w:eastAsia="仿宋" w:cs="仿宋"/>
          <w:color w:val="auto"/>
          <w:sz w:val="32"/>
          <w:szCs w:val="32"/>
          <w:highlight w:val="none"/>
          <w:lang w:val="en-US" w:eastAsia="zh-CN"/>
        </w:rPr>
        <w:t>已通过自治区</w:t>
      </w:r>
      <w:r>
        <w:rPr>
          <w:rFonts w:hint="eastAsia" w:ascii="仿宋" w:hAnsi="仿宋" w:eastAsia="仿宋" w:cs="仿宋"/>
          <w:color w:val="auto"/>
          <w:sz w:val="32"/>
          <w:szCs w:val="32"/>
          <w:highlight w:val="none"/>
        </w:rPr>
        <w:t>发展和改革委员会批复，为保证该项目</w:t>
      </w:r>
      <w:r>
        <w:rPr>
          <w:rFonts w:hint="eastAsia" w:ascii="仿宋" w:hAnsi="仿宋" w:eastAsia="仿宋" w:cs="仿宋"/>
          <w:color w:val="auto"/>
          <w:sz w:val="32"/>
          <w:szCs w:val="32"/>
          <w:highlight w:val="none"/>
          <w:lang w:val="en-US" w:eastAsia="zh-CN"/>
        </w:rPr>
        <w:t>我区境内</w:t>
      </w:r>
      <w:r>
        <w:rPr>
          <w:rFonts w:hint="eastAsia" w:ascii="仿宋" w:hAnsi="仿宋" w:eastAsia="仿宋" w:cs="仿宋"/>
          <w:color w:val="auto"/>
          <w:sz w:val="32"/>
          <w:szCs w:val="32"/>
          <w:highlight w:val="none"/>
        </w:rPr>
        <w:t>顺利实施，保障被征收人的合法权益，根据《国有土地上房屋征收与补偿条例》《内蒙古自治区国有土地上房屋征收与补偿条例》</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国有土地上房屋征收评估办法</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,结合征收工作实际，制定本方案。</w:t>
      </w:r>
    </w:p>
    <w:p w14:paraId="58B44302">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lang w:val="en-US" w:eastAsia="zh-CN"/>
        </w:rPr>
        <w:t>一、</w:t>
      </w:r>
      <w:r>
        <w:rPr>
          <w:rFonts w:hint="eastAsia" w:ascii="仿宋" w:hAnsi="仿宋" w:eastAsia="仿宋" w:cs="仿宋"/>
          <w:b w:val="0"/>
          <w:bCs w:val="0"/>
          <w:color w:val="auto"/>
          <w:sz w:val="32"/>
          <w:szCs w:val="32"/>
          <w:highlight w:val="none"/>
        </w:rPr>
        <w:t>征收主体</w:t>
      </w:r>
    </w:p>
    <w:p w14:paraId="183447A8">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赤峰市元宝山区人民政府</w:t>
      </w:r>
    </w:p>
    <w:p w14:paraId="1AD21F3B">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lang w:val="en-US" w:eastAsia="zh-CN"/>
        </w:rPr>
        <w:t>二、</w:t>
      </w:r>
      <w:r>
        <w:rPr>
          <w:rFonts w:hint="eastAsia" w:ascii="仿宋" w:hAnsi="仿宋" w:eastAsia="仿宋" w:cs="仿宋"/>
          <w:b w:val="0"/>
          <w:bCs w:val="0"/>
          <w:color w:val="auto"/>
          <w:sz w:val="32"/>
          <w:szCs w:val="32"/>
          <w:highlight w:val="none"/>
        </w:rPr>
        <w:t>征收部门</w:t>
      </w:r>
    </w:p>
    <w:p w14:paraId="5B037E82">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赤峰市元宝山区住房保障服务中心</w:t>
      </w:r>
    </w:p>
    <w:p w14:paraId="4F61F3CB">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lang w:val="en-US" w:eastAsia="zh-CN"/>
        </w:rPr>
        <w:t>三、</w:t>
      </w:r>
      <w:r>
        <w:rPr>
          <w:rFonts w:hint="eastAsia" w:ascii="仿宋" w:hAnsi="仿宋" w:eastAsia="仿宋" w:cs="仿宋"/>
          <w:b w:val="0"/>
          <w:bCs w:val="0"/>
          <w:color w:val="auto"/>
          <w:sz w:val="32"/>
          <w:szCs w:val="32"/>
          <w:highlight w:val="none"/>
        </w:rPr>
        <w:t>实施单位</w:t>
      </w:r>
    </w:p>
    <w:p w14:paraId="1B685D02">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赤峰市元宝山区交通运输局负责，赤峰市元宝山区西露天街道办事处配合。</w:t>
      </w:r>
    </w:p>
    <w:p w14:paraId="4D494DB1">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房屋征收具体工作由赤峰市元宝山区交通运输局负责，是本项目房屋征收的实施主体、责任主体和维稳主体，具体负责本项目的房屋征收补偿工作，涉及各镇街配合相关工作。</w:t>
      </w:r>
    </w:p>
    <w:p w14:paraId="705B0B7C">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四、征收范围</w:t>
      </w:r>
    </w:p>
    <w:p w14:paraId="4765A2E5">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G4515大广高速公路赤峰至绥中联络线赤峰至凌源（蒙辽界）公路工程建设项目元宝山区段（具体见征地红线图）。凡在此范围内国有土地上的房屋及附属物、附属设施等均属征收对象。</w:t>
      </w:r>
    </w:p>
    <w:p w14:paraId="1DD592CE">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五、房屋征收签约、搬迁时限</w:t>
      </w:r>
    </w:p>
    <w:p w14:paraId="0C636409">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（一）签约时限</w:t>
      </w:r>
    </w:p>
    <w:p w14:paraId="56EF5FEB">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自元宝山区人民政府发布房屋征收决定公告之日起90日内。</w:t>
      </w:r>
    </w:p>
    <w:p w14:paraId="5E8083EE">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（二）搬迁时限</w:t>
      </w:r>
    </w:p>
    <w:p w14:paraId="58999E6B">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自签订房屋征收补偿协议之日起30日内。</w:t>
      </w:r>
    </w:p>
    <w:p w14:paraId="117F2A86">
      <w:pPr>
        <w:keepNext/>
        <w:keepLines w:val="0"/>
        <w:pageBreakBefore w:val="0"/>
        <w:widowControl/>
        <w:numPr>
          <w:ilvl w:val="0"/>
          <w:numId w:val="0"/>
        </w:numPr>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snapToGrid w:val="0"/>
          <w:color w:val="auto"/>
          <w:kern w:val="0"/>
          <w:sz w:val="32"/>
          <w:szCs w:val="32"/>
          <w:lang w:val="en-US" w:eastAsia="zh-CN" w:bidi="ar-SA"/>
        </w:rPr>
        <w:t>六、</w:t>
      </w:r>
      <w:r>
        <w:rPr>
          <w:rFonts w:hint="eastAsia" w:ascii="仿宋" w:hAnsi="仿宋" w:eastAsia="仿宋" w:cs="仿宋"/>
          <w:b w:val="0"/>
          <w:bCs w:val="0"/>
          <w:color w:val="auto"/>
          <w:sz w:val="32"/>
          <w:szCs w:val="32"/>
          <w:highlight w:val="none"/>
          <w:lang w:val="en-US" w:eastAsia="zh-CN"/>
        </w:rPr>
        <w:t>征收补偿内容及方式</w:t>
      </w:r>
    </w:p>
    <w:p w14:paraId="0830277C">
      <w:pPr>
        <w:keepNext/>
        <w:keepLines w:val="0"/>
        <w:pageBreakBefore w:val="0"/>
        <w:widowControl/>
        <w:numPr>
          <w:ilvl w:val="0"/>
          <w:numId w:val="0"/>
        </w:numPr>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（一）补偿内容</w:t>
      </w:r>
    </w:p>
    <w:p w14:paraId="0F9C013E">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对被征收人给予的补偿包括：被征收房屋价值的补偿；因征收房屋造成的搬迁、临时安置的补偿；因征收房屋造成的停产停业损失的补偿。</w:t>
      </w:r>
    </w:p>
    <w:p w14:paraId="095E6C25">
      <w:pPr>
        <w:keepNext/>
        <w:keepLines w:val="0"/>
        <w:pageBreakBefore w:val="0"/>
        <w:widowControl/>
        <w:numPr>
          <w:ilvl w:val="0"/>
          <w:numId w:val="0"/>
        </w:numPr>
        <w:kinsoku w:val="0"/>
        <w:wordWrap/>
        <w:overflowPunct/>
        <w:topLinePunct w:val="0"/>
        <w:autoSpaceDE w:val="0"/>
        <w:autoSpaceDN w:val="0"/>
        <w:bidi w:val="0"/>
        <w:adjustRightInd w:val="0"/>
        <w:snapToGrid w:val="0"/>
        <w:spacing w:line="572" w:lineRule="exact"/>
        <w:ind w:left="686" w:leftChars="0" w:firstLine="0" w:firstLineChars="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snapToGrid w:val="0"/>
          <w:color w:val="auto"/>
          <w:kern w:val="0"/>
          <w:sz w:val="32"/>
          <w:szCs w:val="32"/>
          <w:lang w:val="en-US" w:eastAsia="zh-CN" w:bidi="ar-SA"/>
        </w:rPr>
        <w:t>（二）</w:t>
      </w:r>
      <w:r>
        <w:rPr>
          <w:rFonts w:hint="eastAsia" w:ascii="仿宋" w:hAnsi="仿宋" w:eastAsia="仿宋" w:cs="仿宋"/>
          <w:color w:val="auto"/>
          <w:sz w:val="32"/>
          <w:szCs w:val="32"/>
          <w:highlight w:val="none"/>
          <w:lang w:val="en-US" w:eastAsia="zh-CN"/>
        </w:rPr>
        <w:t>补偿方式</w:t>
      </w:r>
    </w:p>
    <w:p w14:paraId="532D808F">
      <w:pPr>
        <w:keepNext/>
        <w:keepLines w:val="0"/>
        <w:pageBreakBefore w:val="0"/>
        <w:widowControl/>
        <w:numPr>
          <w:ilvl w:val="0"/>
          <w:numId w:val="0"/>
        </w:numPr>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住宅房屋被征收人可以选择货币补偿，也可以选择房屋产权调换。被征收人选择货币补偿的，不再享受产权调换相关政策。非住宅房屋只进行货币补偿。</w:t>
      </w:r>
    </w:p>
    <w:p w14:paraId="28EF41F4">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七、住宅房屋补偿</w:t>
      </w:r>
    </w:p>
    <w:p w14:paraId="3404EBBD">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住宅房屋是指土地使用权范围内的有证房屋及其附属房屋和设施。</w:t>
      </w:r>
    </w:p>
    <w:p w14:paraId="5B61CD3A">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有证房屋是指被征收房屋所有权人在权属登记部门依法登记，权属证明用途栏内标明为“住宅”的房屋，或被认定为可按有证住宅进行补偿的房屋。</w:t>
      </w:r>
    </w:p>
    <w:p w14:paraId="582BF438">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附属房是指未依法登记，同时未被认定为有证房屋，且在土地使用权范围内的承重墙体独立，门窗齐全的建筑物。</w:t>
      </w:r>
    </w:p>
    <w:p w14:paraId="504E29EA">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（一）货币补偿</w:t>
      </w:r>
    </w:p>
    <w:p w14:paraId="71373C83">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1、有证房屋补偿。被征收房屋的价值，由选定的房地产价格评估机构按照同等建筑面积、类似新建商品住宅市场价格给予以评估确定。</w:t>
      </w:r>
    </w:p>
    <w:p w14:paraId="223F4C83">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附属房屋补偿。土地使用证范围以内有证房屋面积以外的已建建筑，按其重新建造的成本价值折旧，由选定的房地产价格评估机构评估确定补偿价格。因历史原因，土地使用证范围内未经批准在一层房屋上加建的建筑及土地使用证范围外建成的附属房屋，且被征收人积极配合征收工作，未被认定为违章建筑的，经评估机构评估后予以补偿。</w:t>
      </w:r>
    </w:p>
    <w:p w14:paraId="37BEEE91">
      <w:pPr>
        <w:keepNext/>
        <w:keepLines w:val="0"/>
        <w:pageBreakBefore w:val="0"/>
        <w:widowControl/>
        <w:kinsoku w:val="0"/>
        <w:wordWrap/>
        <w:overflowPunct/>
        <w:topLinePunct w:val="0"/>
        <w:autoSpaceDE w:val="0"/>
        <w:autoSpaceDN w:val="0"/>
        <w:bidi w:val="0"/>
        <w:adjustRightInd w:val="0"/>
        <w:snapToGrid w:val="0"/>
        <w:spacing w:line="572" w:lineRule="exact"/>
        <w:ind w:firstLine="560" w:firstLineChars="200"/>
        <w:jc w:val="both"/>
        <w:textAlignment w:val="baseline"/>
        <w:rPr>
          <w:rFonts w:hint="eastAsia" w:ascii="仿宋" w:hAnsi="仿宋" w:eastAsia="仿宋" w:cs="仿宋"/>
          <w:color w:val="auto"/>
          <w:spacing w:val="-20"/>
          <w:sz w:val="32"/>
          <w:szCs w:val="32"/>
          <w:highlight w:val="none"/>
          <w:lang w:val="en-US" w:eastAsia="zh-CN"/>
        </w:rPr>
      </w:pPr>
      <w:r>
        <w:rPr>
          <w:rFonts w:hint="eastAsia" w:ascii="仿宋" w:hAnsi="仿宋" w:eastAsia="仿宋" w:cs="仿宋"/>
          <w:color w:val="auto"/>
          <w:spacing w:val="-20"/>
          <w:sz w:val="32"/>
          <w:szCs w:val="32"/>
          <w:highlight w:val="none"/>
          <w:lang w:val="en-US" w:eastAsia="zh-CN"/>
        </w:rPr>
        <w:t>3、未建部分补偿。由选定的房地产价格评估机构评估确定。</w:t>
      </w:r>
    </w:p>
    <w:p w14:paraId="6D76C537">
      <w:pPr>
        <w:keepNext/>
        <w:keepLines w:val="0"/>
        <w:pageBreakBefore w:val="0"/>
        <w:widowControl/>
        <w:kinsoku w:val="0"/>
        <w:wordWrap/>
        <w:overflowPunct/>
        <w:topLinePunct w:val="0"/>
        <w:autoSpaceDE w:val="0"/>
        <w:autoSpaceDN w:val="0"/>
        <w:bidi w:val="0"/>
        <w:adjustRightInd w:val="0"/>
        <w:snapToGrid w:val="0"/>
        <w:spacing w:line="572" w:lineRule="exact"/>
        <w:ind w:firstLine="56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pacing w:val="-20"/>
          <w:sz w:val="32"/>
          <w:szCs w:val="32"/>
          <w:highlight w:val="none"/>
          <w:lang w:val="en-US" w:eastAsia="zh-CN"/>
        </w:rPr>
        <w:t xml:space="preserve">4、附着物及设施补偿。按由选定的房地产价格评估机构按重置成本法评估确定补偿价格。           </w:t>
      </w:r>
      <w:r>
        <w:rPr>
          <w:rFonts w:hint="eastAsia" w:ascii="仿宋" w:hAnsi="仿宋" w:eastAsia="仿宋" w:cs="仿宋"/>
          <w:color w:val="auto"/>
          <w:sz w:val="32"/>
          <w:szCs w:val="32"/>
          <w:highlight w:val="none"/>
          <w:lang w:val="en-US" w:eastAsia="zh-CN"/>
        </w:rPr>
        <w:t xml:space="preserve">                                                                                                                                                                                                                                                                                                                                                                                                                                                                                                                                                                                                                                                                                                                                                                                                                                                                                                                                                                                                                                                                                                                                                                                                                                                                                     </w:t>
      </w:r>
    </w:p>
    <w:p w14:paraId="24CC2EFB">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5、装饰装修补偿。由征收当事人协商确定，协商不成的，由选定的房地产价格评估机构评估确定。</w:t>
      </w:r>
    </w:p>
    <w:p w14:paraId="1218D81A">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产权调换方式：</w:t>
      </w:r>
    </w:p>
    <w:p w14:paraId="6ABB43E3">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有证房屋调换</w:t>
      </w:r>
    </w:p>
    <w:p w14:paraId="5190BAFB">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征收个人住宅房屋，被征收人选择产权调换的，调换至多层住宅按照有证建筑面积1:1.2的比例调换，调换至高层住宅按照有证建筑面积1:1.3的比例调换，调换的商品房位于</w:t>
      </w:r>
      <w:r>
        <w:rPr>
          <w:rFonts w:hint="eastAsia" w:ascii="仿宋" w:hAnsi="仿宋" w:eastAsia="仿宋" w:cs="仿宋"/>
          <w:color w:val="auto"/>
          <w:sz w:val="32"/>
          <w:szCs w:val="32"/>
          <w:highlight w:val="none"/>
          <w:lang w:val="en-US" w:eastAsia="zh-CN"/>
        </w:rPr>
        <w:t>平庄</w:t>
      </w:r>
      <w:r>
        <w:rPr>
          <w:rFonts w:hint="eastAsia" w:ascii="仿宋" w:hAnsi="仿宋" w:eastAsia="仿宋" w:cs="仿宋"/>
          <w:color w:val="auto"/>
          <w:sz w:val="32"/>
          <w:szCs w:val="32"/>
          <w:highlight w:val="none"/>
        </w:rPr>
        <w:t>城区范围内。具体以安置房源所在地的市场价值结算差价。</w:t>
      </w:r>
    </w:p>
    <w:p w14:paraId="6F04D81E">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附属房、附属设施不实行产权调换，按重置成本法评估的价格予以补偿。</w:t>
      </w:r>
    </w:p>
    <w:p w14:paraId="6730DC89">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三</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搬迁费及临时安置费</w:t>
      </w:r>
    </w:p>
    <w:p w14:paraId="5B5922EC">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1、搬迁费</w:t>
      </w:r>
    </w:p>
    <w:p w14:paraId="6CDFFC62">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被征收人在规定时间内搬离的，选择货币补偿的按照每宗土地给予2000元搬迁费。</w:t>
      </w:r>
      <w:r>
        <w:rPr>
          <w:rFonts w:hint="eastAsia" w:ascii="仿宋" w:hAnsi="仿宋" w:eastAsia="仿宋" w:cs="仿宋"/>
          <w:color w:val="auto"/>
          <w:sz w:val="32"/>
          <w:szCs w:val="32"/>
          <w:highlight w:val="none"/>
        </w:rPr>
        <w:t>选择产权调换的</w:t>
      </w:r>
      <w:r>
        <w:rPr>
          <w:rFonts w:hint="eastAsia" w:ascii="仿宋" w:hAnsi="仿宋" w:eastAsia="仿宋" w:cs="仿宋"/>
          <w:color w:val="auto"/>
          <w:sz w:val="32"/>
          <w:szCs w:val="32"/>
          <w:highlight w:val="none"/>
          <w:lang w:val="en-US" w:eastAsia="zh-CN"/>
        </w:rPr>
        <w:t>按照同等标准给予两次搬迁费。</w:t>
      </w:r>
    </w:p>
    <w:p w14:paraId="77968AAC">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2、临时安置费</w:t>
      </w:r>
    </w:p>
    <w:p w14:paraId="786004E5">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选择产权调换的</w:t>
      </w:r>
      <w:r>
        <w:rPr>
          <w:rFonts w:hint="eastAsia" w:ascii="仿宋" w:hAnsi="仿宋" w:eastAsia="仿宋" w:cs="仿宋"/>
          <w:color w:val="auto"/>
          <w:sz w:val="32"/>
          <w:szCs w:val="32"/>
          <w:highlight w:val="none"/>
          <w:lang w:val="en-US" w:eastAsia="zh-CN"/>
        </w:rPr>
        <w:t>被征收人</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由征收实施单位在</w:t>
      </w:r>
      <w:r>
        <w:rPr>
          <w:rFonts w:hint="eastAsia" w:ascii="仿宋" w:hAnsi="仿宋" w:eastAsia="仿宋" w:cs="仿宋"/>
          <w:color w:val="auto"/>
          <w:sz w:val="32"/>
          <w:szCs w:val="32"/>
          <w:highlight w:val="none"/>
          <w:lang w:val="en-US" w:eastAsia="zh-CN"/>
        </w:rPr>
        <w:t>平庄城区</w:t>
      </w:r>
      <w:r>
        <w:rPr>
          <w:rFonts w:hint="eastAsia" w:ascii="仿宋" w:hAnsi="仿宋" w:eastAsia="仿宋" w:cs="仿宋"/>
          <w:color w:val="auto"/>
          <w:sz w:val="32"/>
          <w:szCs w:val="32"/>
          <w:highlight w:val="none"/>
        </w:rPr>
        <w:t>选择房屋进行安置。在安置房交付前，自行过渡。自搬迁完毕之日至通知其办理入住手续之日为过渡期，搬迁过渡期限不超过30个月</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过渡期发放临时安置费。</w:t>
      </w:r>
    </w:p>
    <w:p w14:paraId="758D01B6">
      <w:pPr>
        <w:keepNext/>
        <w:keepLines w:val="0"/>
        <w:pageBreakBefore w:val="0"/>
        <w:widowControl/>
        <w:kinsoku w:val="0"/>
        <w:wordWrap/>
        <w:overflowPunct/>
        <w:topLinePunct w:val="0"/>
        <w:autoSpaceDE w:val="0"/>
        <w:autoSpaceDN w:val="0"/>
        <w:bidi w:val="0"/>
        <w:adjustRightInd w:val="0"/>
        <w:snapToGrid w:val="0"/>
        <w:spacing w:line="572" w:lineRule="exact"/>
        <w:ind w:firstLine="720" w:firstLineChars="200"/>
        <w:jc w:val="both"/>
        <w:textAlignment w:val="baseline"/>
        <w:rPr>
          <w:rFonts w:hint="eastAsia" w:ascii="仿宋" w:hAnsi="仿宋" w:eastAsia="仿宋" w:cs="仿宋"/>
          <w:color w:val="auto"/>
          <w:spacing w:val="20"/>
          <w:sz w:val="32"/>
          <w:szCs w:val="32"/>
          <w:highlight w:val="none"/>
        </w:rPr>
      </w:pPr>
      <w:r>
        <w:rPr>
          <w:rFonts w:hint="eastAsia" w:ascii="仿宋" w:hAnsi="仿宋" w:eastAsia="仿宋" w:cs="仿宋"/>
          <w:color w:val="auto"/>
          <w:spacing w:val="20"/>
          <w:sz w:val="32"/>
          <w:szCs w:val="32"/>
          <w:highlight w:val="none"/>
        </w:rPr>
        <w:t>临时安置费按被征收房屋有证房屋面积每月15元/平方米的标准支付，每户每月不低于1000元。逾期安置的，自逾期之日起，双倍发放临时安置费。</w:t>
      </w:r>
    </w:p>
    <w:p w14:paraId="7433E738">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四</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住改非房屋的补偿</w:t>
      </w:r>
    </w:p>
    <w:p w14:paraId="011D5382">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住宅房屋改为非住宅用途的，征收时按住宅房屋进行补偿，</w:t>
      </w:r>
      <w:r>
        <w:rPr>
          <w:rFonts w:hint="eastAsia" w:ascii="仿宋" w:hAnsi="仿宋" w:eastAsia="仿宋" w:cs="仿宋"/>
          <w:color w:val="auto"/>
          <w:sz w:val="32"/>
          <w:szCs w:val="32"/>
          <w:highlight w:val="none"/>
          <w:lang w:val="en-US" w:eastAsia="zh-CN"/>
        </w:rPr>
        <w:t>征收</w:t>
      </w:r>
      <w:r>
        <w:rPr>
          <w:rFonts w:hint="eastAsia" w:ascii="仿宋" w:hAnsi="仿宋" w:eastAsia="仿宋" w:cs="仿宋"/>
          <w:color w:val="auto"/>
          <w:sz w:val="32"/>
          <w:szCs w:val="32"/>
          <w:highlight w:val="none"/>
        </w:rPr>
        <w:t>期间的经营损失按下列方式补偿：</w:t>
      </w:r>
    </w:p>
    <w:p w14:paraId="5FDFBC44">
      <w:pPr>
        <w:keepNext/>
        <w:keepLines w:val="0"/>
        <w:pageBreakBefore w:val="0"/>
        <w:widowControl/>
        <w:kinsoku w:val="0"/>
        <w:wordWrap/>
        <w:overflowPunct/>
        <w:topLinePunct w:val="0"/>
        <w:autoSpaceDE w:val="0"/>
        <w:autoSpaceDN w:val="0"/>
        <w:bidi w:val="0"/>
        <w:adjustRightInd w:val="0"/>
        <w:snapToGrid w:val="0"/>
        <w:spacing w:line="572" w:lineRule="exact"/>
        <w:ind w:firstLine="720" w:firstLineChars="200"/>
        <w:jc w:val="both"/>
        <w:textAlignment w:val="baseline"/>
        <w:rPr>
          <w:rFonts w:hint="eastAsia" w:ascii="仿宋" w:hAnsi="仿宋" w:eastAsia="仿宋" w:cs="仿宋"/>
          <w:color w:val="auto"/>
          <w:spacing w:val="20"/>
          <w:sz w:val="32"/>
          <w:szCs w:val="32"/>
          <w:highlight w:val="none"/>
        </w:rPr>
      </w:pPr>
      <w:r>
        <w:rPr>
          <w:rFonts w:hint="eastAsia" w:ascii="仿宋" w:hAnsi="仿宋" w:eastAsia="仿宋" w:cs="仿宋"/>
          <w:color w:val="auto"/>
          <w:spacing w:val="20"/>
          <w:sz w:val="32"/>
          <w:szCs w:val="32"/>
          <w:highlight w:val="none"/>
        </w:rPr>
        <w:t>1</w:t>
      </w:r>
      <w:r>
        <w:rPr>
          <w:rFonts w:hint="eastAsia" w:ascii="仿宋" w:hAnsi="仿宋" w:eastAsia="仿宋" w:cs="仿宋"/>
          <w:color w:val="auto"/>
          <w:spacing w:val="20"/>
          <w:sz w:val="32"/>
          <w:szCs w:val="32"/>
          <w:highlight w:val="none"/>
          <w:lang w:eastAsia="zh-CN"/>
        </w:rPr>
        <w:t>、</w:t>
      </w:r>
      <w:r>
        <w:rPr>
          <w:rFonts w:hint="eastAsia" w:ascii="仿宋" w:hAnsi="仿宋" w:eastAsia="仿宋" w:cs="仿宋"/>
          <w:color w:val="auto"/>
          <w:spacing w:val="20"/>
          <w:sz w:val="32"/>
          <w:szCs w:val="32"/>
          <w:highlight w:val="none"/>
        </w:rPr>
        <w:t>经营者提供纳税证明的，补偿标准按照经营者在该房屋中生产、经营活动所缴纳的所得税金额确定，以经营者提供的上年度缴纳所得税证明，计算出上年度利润，一次性给予该利润额的1.5倍损失补偿。</w:t>
      </w:r>
    </w:p>
    <w:p w14:paraId="7309E7F0">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经营者不能提供缴纳所得税证明的，或者依照相关规定免税的，如营业执照与实际经营场所一致的，按经营年限分别补偿，连续经营五年以下的，一次性补偿10000元；连续经营五年以上(含五年)的，一次性补偿20000元。</w:t>
      </w:r>
    </w:p>
    <w:p w14:paraId="372D5CAC">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lang w:val="en-US" w:eastAsia="zh-CN"/>
        </w:rPr>
        <w:t>八、</w:t>
      </w:r>
      <w:r>
        <w:rPr>
          <w:rFonts w:hint="eastAsia" w:ascii="仿宋" w:hAnsi="仿宋" w:eastAsia="仿宋" w:cs="仿宋"/>
          <w:b w:val="0"/>
          <w:bCs w:val="0"/>
          <w:color w:val="auto"/>
          <w:sz w:val="32"/>
          <w:szCs w:val="32"/>
          <w:highlight w:val="none"/>
        </w:rPr>
        <w:t>非住宅房屋的补偿</w:t>
      </w:r>
    </w:p>
    <w:p w14:paraId="380AAF7F">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非住宅房屋是指被征收房屋所有权证用途栏内标明为</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商业</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工</w:t>
      </w:r>
      <w:r>
        <w:rPr>
          <w:rFonts w:hint="eastAsia" w:ascii="仿宋" w:hAnsi="仿宋" w:eastAsia="仿宋" w:cs="仿宋"/>
          <w:color w:val="auto"/>
          <w:sz w:val="32"/>
          <w:szCs w:val="32"/>
          <w:highlight w:val="none"/>
        </w:rPr>
        <w:t>业</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办公</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或</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仓储</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等非住宅用途的房屋</w:t>
      </w:r>
      <w:r>
        <w:rPr>
          <w:rFonts w:hint="eastAsia" w:ascii="仿宋" w:hAnsi="仿宋" w:eastAsia="仿宋" w:cs="仿宋"/>
          <w:color w:val="auto"/>
          <w:sz w:val="32"/>
          <w:szCs w:val="32"/>
          <w:highlight w:val="none"/>
          <w:lang w:eastAsia="zh-CN"/>
        </w:rPr>
        <w:t>。</w:t>
      </w:r>
    </w:p>
    <w:p w14:paraId="5B1B2D0F">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lang w:eastAsia="zh-CN"/>
        </w:rPr>
        <w:t>）土地市场价，房屋重建成本价</w:t>
      </w:r>
    </w:p>
    <w:p w14:paraId="5D16EF72">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1、土地补偿标准</w:t>
      </w:r>
    </w:p>
    <w:p w14:paraId="3D6994EF">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（1）出让用地的补偿标准</w:t>
      </w:r>
    </w:p>
    <w:p w14:paraId="11DA09AB">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依据《赤峰市元宝山区人民政府办公室关于公布实施城镇基准地价的通知》（元政字〔2025〕6号）文件的精神，由具有资质的评估机构评估确定。</w:t>
      </w:r>
    </w:p>
    <w:p w14:paraId="0BE92113">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（2）划拨用地的补偿标准</w:t>
      </w:r>
    </w:p>
    <w:p w14:paraId="7539ECB4">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依据《划拨土地使用权管理暂行办法》的规定，由具有资质的评估机构评估确定。</w:t>
      </w:r>
    </w:p>
    <w:p w14:paraId="2EBD55B2">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2、房屋补偿标准</w:t>
      </w:r>
    </w:p>
    <w:p w14:paraId="5EB99CF3">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（1）有证房屋按其重新建造的成本价值折旧补偿，由选定的房地产价格评估机构评估确定。</w:t>
      </w:r>
    </w:p>
    <w:p w14:paraId="3E44B026">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（2）附属房屋按其重新建造的成本价值折旧补偿，由选定的房地产价格评估机构评估确定。</w:t>
      </w:r>
    </w:p>
    <w:p w14:paraId="73B13879">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（二）土地成本价，房屋市场价</w:t>
      </w:r>
    </w:p>
    <w:p w14:paraId="1E91DBCD">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1、房屋补偿标准</w:t>
      </w:r>
    </w:p>
    <w:p w14:paraId="2DFB6BCF">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（1）有证房屋按决定公告之日类似房地产的市场价格补偿，       由选定的房地产价格评估机构评估确定。</w:t>
      </w:r>
    </w:p>
    <w:p w14:paraId="5A27F9EE">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（2）附属房屋按其重新建造的成本价值折旧补偿，由选定的房地产价格评估机构评估确定。</w:t>
      </w:r>
    </w:p>
    <w:p w14:paraId="0892A943">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2、土地补偿标准</w:t>
      </w:r>
    </w:p>
    <w:p w14:paraId="242684F1">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（1）对于以出让方式取得的土地使用权收回的土地补偿包括：</w:t>
      </w:r>
    </w:p>
    <w:p w14:paraId="211D1589">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①征用集体土地时的补偿或购买此宗土地的价格；</w:t>
      </w:r>
    </w:p>
    <w:p w14:paraId="6981EFA1">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②办理用地手续时所交的税费；</w:t>
      </w:r>
    </w:p>
    <w:p w14:paraId="6C6626F1">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③土地出让金实际交纳金额；</w:t>
      </w:r>
    </w:p>
    <w:p w14:paraId="42960EE9">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④以上三项费用合计截至测算时点的同期银行贷款利息；</w:t>
      </w:r>
    </w:p>
    <w:p w14:paraId="08EDA9DF">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⑤土地治理费（每平方米30元）；</w:t>
      </w:r>
    </w:p>
    <w:p w14:paraId="16ED671E">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被征收人通过拍卖以资产包形式获得企业土地和房屋，无法剥离土地和房屋具体价值的，土地成本价可按整体获得总价的40%进行测算补偿。</w:t>
      </w:r>
    </w:p>
    <w:p w14:paraId="3C1CED3F">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（2）对于以划拨方式取得的土地使用权收回的土地补偿包括</w:t>
      </w:r>
    </w:p>
    <w:p w14:paraId="33DCA412">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①征用集体土地时的补偿或购买此宗土地的价格；</w:t>
      </w:r>
    </w:p>
    <w:p w14:paraId="5168B0BB">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②第①项费用截至测算时点的同期银行贷款利息；</w:t>
      </w:r>
    </w:p>
    <w:p w14:paraId="1ACEC77A">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③土地治理费补偿（每平方米30元）；</w:t>
      </w:r>
    </w:p>
    <w:p w14:paraId="43713677">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（三）附着物及设施补偿</w:t>
      </w:r>
    </w:p>
    <w:p w14:paraId="3E052664">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由选定的房地产价格评估机构按重置成本法评估确定。</w:t>
      </w:r>
    </w:p>
    <w:p w14:paraId="4F7C9677">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（四）搬迁费补偿</w:t>
      </w:r>
    </w:p>
    <w:p w14:paraId="05111541">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被征收人为现生产企业的搬迁费按评估金额的1.5%确定；其他非住宅房屋的搬迁费按评估金额的1%确定。</w:t>
      </w:r>
    </w:p>
    <w:p w14:paraId="58D28617">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（五）停产、停业损失补偿</w:t>
      </w:r>
    </w:p>
    <w:p w14:paraId="00AAB77E">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对已领取营业执照进行税务登记并有纳税记录的，按评估金额的3%给予停产、停业损失补偿。</w:t>
      </w:r>
    </w:p>
    <w:p w14:paraId="7A28B719">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九、住房保障</w:t>
      </w:r>
    </w:p>
    <w:p w14:paraId="757275D0">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被征收人住宅房屋建筑面积低于50平方米，且在本行政区域内无其他住房的，按50平方米计算补偿金额。</w:t>
      </w:r>
    </w:p>
    <w:p w14:paraId="38039686">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b/>
          <w:bCs/>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十、土地使用权及未登记房屋的确定、认定</w:t>
      </w:r>
    </w:p>
    <w:p w14:paraId="0DD486EE">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认定机构由元宝山区人民政府组织自然资源局、住建局、综合执法局及相关镇、乡、街道办事处等部门成立房屋权属认定组，对拟征收范围内土地使用情况、未经登记的建筑及违章建筑情况进行调查认定和处理。</w:t>
      </w:r>
    </w:p>
    <w:p w14:paraId="3D951464">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(二)认定办法</w:t>
      </w:r>
    </w:p>
    <w:p w14:paraId="64B9E812">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1、因历史原因，未依法取得土地证和房产证的被征收人，同时无档案登记的，原则按被征收人合法土地使用权范围内一栋独立的居住型房屋认定为有证房屋，出具认定意见。</w:t>
      </w:r>
    </w:p>
    <w:p w14:paraId="690DFD60">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2、认定的有证房屋面积最高不超过合法土地使用权面积40%，且二层以上(含二层)及地下一层以下(含地下一层)不予认定。</w:t>
      </w:r>
    </w:p>
    <w:p w14:paraId="6657C2C8">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3、认定为有证房屋的条件:房屋有基础，有屋面，有承重构件，设施齐全，门窗齐全，达到房屋居住基本条件。</w:t>
      </w:r>
    </w:p>
    <w:p w14:paraId="34965C66">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4、没有土地使用权证的房屋，由自然资源局会同镇、乡、街道办事处共同实测，出具土地来源证明，一宗土地(或一个院落)认定为一户。通过确认土地使用权后，地上房屋的认定按以上规定执行。</w:t>
      </w:r>
    </w:p>
    <w:p w14:paraId="505C1E5F">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5、在认定工作中被征收人应在政府公告的日期内到现场指界配合测量工作，并在指界表和勘察测量结果上签字确认，被征收人如果在公告日期内不能到现场指界测量并在勘察测量结果上签字确认的，由认定小组工作人员、测绘公司工作人员、无利害关系第三人等现场见证人员进行指界并在勘察测量结果上签字确认，由此产生的法律后果由被征收人自行承担。</w:t>
      </w:r>
    </w:p>
    <w:p w14:paraId="3871870E">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6、被征收原有证房屋已翻建、待建且非抢建的，在征收中房屋面积与证载面积一致的按证载面积进行补偿，房屋面积大于证载面积且被征收人能够提供翻建手续的，按翻建手续批准的建筑面积给予认定并进行补偿，否则不予认定。</w:t>
      </w:r>
    </w:p>
    <w:p w14:paraId="33FE5565">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十一、住宅房屋奖励政策</w:t>
      </w:r>
    </w:p>
    <w:p w14:paraId="4B06A759">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自初步估价结果送达之日起10日内签订征收补偿协议，并在协议约定期限内完成搬迁交付房屋的被征收人，以土地为单位，每宗土地一次性奖励人民币40000元;第11日至第20日签订征收补偿协议并在协议约定期限内完成搬迁交付房屋的，一次性奖励人民币30000元;第21日至第40日签订征收补偿协议并在协议约定期限内完成搬迁交付房屋的，一次性奖励人民币20000元;超过40日签订征收补偿协议的，没有奖励。</w:t>
      </w:r>
    </w:p>
    <w:p w14:paraId="5427952F">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被征收人积极配合房屋征收工作的，在初步估价结果送达之日起40日内签约，有证房屋的面积不足土地使用权面积40%的，依次在附属房屋、附属物(建筑部分)、未建部分中补足土地使用权面积的40%进行奖励，有证房屋面积与奖励面积之和最高限为200平方米，奖励部分按类似新建商品住宅的市场价格进行货币补偿。经奖励部分的附属房屋、附着物及未建部分不再另行补偿。</w:t>
      </w:r>
    </w:p>
    <w:p w14:paraId="07E12BD8">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（三）未在约定期限内签订征收补偿协议的、取消一切奖励。</w:t>
      </w:r>
    </w:p>
    <w:p w14:paraId="1CEBA7A0">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b w:val="0"/>
          <w:bCs w:val="0"/>
          <w:color w:val="auto"/>
          <w:sz w:val="32"/>
          <w:szCs w:val="32"/>
          <w:highlight w:val="none"/>
          <w:lang w:val="en-US" w:eastAsia="zh-CN"/>
        </w:rPr>
      </w:pPr>
      <w:r>
        <w:rPr>
          <w:rFonts w:hint="eastAsia" w:ascii="仿宋" w:hAnsi="仿宋" w:eastAsia="仿宋" w:cs="仿宋"/>
          <w:b w:val="0"/>
          <w:bCs w:val="0"/>
          <w:color w:val="auto"/>
          <w:sz w:val="32"/>
          <w:szCs w:val="32"/>
          <w:highlight w:val="none"/>
          <w:lang w:val="en-US" w:eastAsia="zh-CN"/>
        </w:rPr>
        <w:t>十二、评估机构的选定</w:t>
      </w:r>
    </w:p>
    <w:p w14:paraId="03944355">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（一）评估机构的确定</w:t>
      </w:r>
    </w:p>
    <w:p w14:paraId="360335E4">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房地产价格评估机构由本项目内被征收人从不少于3家的备选房地产价格评估机构中协商一致选定。自征收部门公布房地产价格评估机构名单之日起10日内仍不能协商选定的，由被征收人投票选定，投票选定的房地产价格评估机构，应当有过半数被征收人参加投票并获得参加投票的被征收人的过半数票。若得票数均未超过参与投票总数二分之一，则由征收部门组织，采用抽签方式确定，并由公证处对投票、抽签过程进行公证。</w:t>
      </w:r>
    </w:p>
    <w:p w14:paraId="22C6D4C9">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（二）地上附着物评估实施</w:t>
      </w:r>
    </w:p>
    <w:p w14:paraId="3E7C79E3">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被征收房屋的价值时点为房屋征收决定公告之日。征收工作人员和房地产价格评估机构工作人员入户实地查勘，保存影像资料，被征收人应在查勘记录上签字或盖章确认。被征收人拒绝在实地查勘记录上签字或盖章的，由征收工作人员、评估机构工作人员和无利害关系的第三人见证。被征收人拒绝入户评估的，由征收实施单位通知被征收人入户时间等具体事项后，组织房地产价格评估机构在无利害关系的第三人见证下进行实地查勘，出具评估报告,有关情况在评估报告中说明。</w:t>
      </w:r>
    </w:p>
    <w:p w14:paraId="7EC4098C">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lang w:val="en-US" w:eastAsia="zh-CN"/>
        </w:rPr>
        <w:t>十三、</w:t>
      </w:r>
      <w:r>
        <w:rPr>
          <w:rFonts w:hint="eastAsia" w:ascii="仿宋" w:hAnsi="仿宋" w:eastAsia="仿宋" w:cs="仿宋"/>
          <w:b w:val="0"/>
          <w:bCs w:val="0"/>
          <w:color w:val="auto"/>
          <w:sz w:val="32"/>
          <w:szCs w:val="32"/>
          <w:highlight w:val="none"/>
        </w:rPr>
        <w:t>其他规定</w:t>
      </w:r>
    </w:p>
    <w:p w14:paraId="714163E4">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一</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被征收人与房屋征收部门在本方案规定的签约期限内达不成补偿协议的，或者被征收房屋所有权人不明确的，由区人民政府按照征收补偿方案做出补偿决定，并在房屋征收范围内予以公告；被征收人对补偿决定不服的，可依法申请行政复议，也可以依法提起行政诉讼；被征收人在法定期限内不申请行政复议或者不提起行政诉讼，在补偿决定规定的期限内又不搬迁的，由区人民政府依法申请人民法院强制执行。</w:t>
      </w:r>
    </w:p>
    <w:p w14:paraId="221F10CA">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二</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签订征收补偿协议和领取补偿款时，由被征收人亲自办理，不能亲自办理需要委托他人代为办理的可出具具有法律效力的书面委托书，委托书应经过公证机关公证，否则不予办理;被征收土地上房屋所有权人已故尚未确定继承人的，应先办理继承公证，由继承人或由所有继承人按上述程序共同委托一人办理</w:t>
      </w:r>
      <w:r>
        <w:rPr>
          <w:rFonts w:hint="eastAsia" w:ascii="仿宋" w:hAnsi="仿宋" w:eastAsia="仿宋" w:cs="仿宋"/>
          <w:color w:val="auto"/>
          <w:sz w:val="32"/>
          <w:szCs w:val="32"/>
          <w:highlight w:val="none"/>
          <w:lang w:eastAsia="zh-CN"/>
        </w:rPr>
        <w:t>。</w:t>
      </w:r>
    </w:p>
    <w:p w14:paraId="5956E700">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lang w:val="en-US" w:eastAsia="zh-CN"/>
        </w:rPr>
        <w:t>三</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rPr>
        <w:t>被征收土地上的房屋设有抵押权的，由征收部门告知抵押权人。被征收土地上的房屋存在租赁关系的或设有抵押权的，自实施单位通知被征收人搬迁之日起，被征收人自行解除租赁或抵押关系。被征收土地上的房屋存在权属、遗产等纠纷的，由当事人双方在房屋征收期限内自行解决，征收单位不承担房屋租赁、抵押及权属、遗产纠纷所产生的任何经济和法律责任。逾期不能解决的，由被征收土地上的房屋的利益人提出申请，提存征收补偿利益，先行拆除被征收土地上的房屋及建筑物、构筑物，按法院或仲裁机构的最终裁决或当事人协商意见分配补偿利益。</w:t>
      </w:r>
    </w:p>
    <w:p w14:paraId="4E6E4639">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四</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自征收范围确定后，任何单位和个人不得在房屋土地征收范围内实施新建、扩建、改建房屋和改变房屋用途等不当增加补偿费用的行为，违反规定实施的，不予补偿。</w:t>
      </w:r>
    </w:p>
    <w:p w14:paraId="2BCC387E">
      <w:pPr>
        <w:keepNext/>
        <w:keepLines w:val="0"/>
        <w:pageBreakBefore w:val="0"/>
        <w:widowControl/>
        <w:kinsoku w:val="0"/>
        <w:wordWrap/>
        <w:overflowPunct/>
        <w:topLinePunct w:val="0"/>
        <w:autoSpaceDE w:val="0"/>
        <w:autoSpaceDN w:val="0"/>
        <w:bidi w:val="0"/>
        <w:adjustRightInd w:val="0"/>
        <w:snapToGrid w:val="0"/>
        <w:spacing w:line="572" w:lineRule="exact"/>
        <w:ind w:firstLine="640" w:firstLineChars="200"/>
        <w:jc w:val="both"/>
        <w:textAlignment w:val="baseline"/>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征收部门将前款所列事项书面通知住建、</w:t>
      </w:r>
      <w:r>
        <w:rPr>
          <w:rFonts w:hint="eastAsia" w:ascii="仿宋" w:hAnsi="仿宋" w:eastAsia="仿宋" w:cs="仿宋"/>
          <w:color w:val="auto"/>
          <w:sz w:val="32"/>
          <w:szCs w:val="32"/>
          <w:highlight w:val="none"/>
          <w:lang w:val="en-US" w:eastAsia="zh-CN"/>
        </w:rPr>
        <w:t>自然资源</w:t>
      </w:r>
      <w:r>
        <w:rPr>
          <w:rFonts w:hint="eastAsia" w:ascii="仿宋" w:hAnsi="仿宋" w:eastAsia="仿宋" w:cs="仿宋"/>
          <w:color w:val="auto"/>
          <w:sz w:val="32"/>
          <w:szCs w:val="32"/>
          <w:highlight w:val="none"/>
        </w:rPr>
        <w:t>、公安、市场监督、税务等有关部门，暂停办理相关手续。暂停办理的书面通知载明暂停期限，暂停期限最长不超过一年。</w:t>
      </w:r>
    </w:p>
    <w:p w14:paraId="15CAC622">
      <w:pPr>
        <w:keepNext/>
        <w:keepLines w:val="0"/>
        <w:pageBreakBefore w:val="0"/>
        <w:widowControl/>
        <w:kinsoku/>
        <w:wordWrap/>
        <w:overflowPunct/>
        <w:topLinePunct w:val="0"/>
        <w:autoSpaceDE w:val="0"/>
        <w:autoSpaceDN w:val="0"/>
        <w:bidi w:val="0"/>
        <w:adjustRightInd w:val="0"/>
        <w:snapToGrid w:val="0"/>
        <w:spacing w:line="572" w:lineRule="atLeast"/>
        <w:ind w:firstLine="640" w:firstLineChars="200"/>
        <w:jc w:val="both"/>
        <w:textAlignment w:val="baseline"/>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lang w:val="en-US" w:eastAsia="zh-CN"/>
        </w:rPr>
        <w:t>五</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lang w:val="en-US" w:eastAsia="zh-CN"/>
        </w:rPr>
        <w:t>房屋被依法征收的，国有土地使用权同时收回。</w:t>
      </w:r>
    </w:p>
    <w:p w14:paraId="3F7F9978">
      <w:pPr>
        <w:keepNext/>
        <w:keepLines w:val="0"/>
        <w:pageBreakBefore w:val="0"/>
        <w:widowControl/>
        <w:kinsoku/>
        <w:wordWrap/>
        <w:overflowPunct/>
        <w:topLinePunct w:val="0"/>
        <w:autoSpaceDE w:val="0"/>
        <w:autoSpaceDN w:val="0"/>
        <w:bidi w:val="0"/>
        <w:adjustRightInd w:val="0"/>
        <w:snapToGrid w:val="0"/>
        <w:spacing w:line="572" w:lineRule="atLeast"/>
        <w:ind w:firstLine="640"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lang w:val="en-US" w:eastAsia="zh-CN"/>
        </w:rPr>
        <w:t>六</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rPr>
        <w:t>被征收土地上的房屋发生的水、电、煤气、暖、有线电视等相关费用被征收人自行结清。征收补偿协议签订后，被征收人不得私自拆卸、损毁原房屋和附属设施，否则按</w:t>
      </w:r>
      <w:r>
        <w:rPr>
          <w:rFonts w:hint="eastAsia" w:ascii="仿宋" w:hAnsi="仿宋" w:eastAsia="仿宋" w:cs="仿宋"/>
          <w:color w:val="auto"/>
          <w:spacing w:val="0"/>
          <w:sz w:val="32"/>
          <w:szCs w:val="32"/>
          <w:highlight w:val="none"/>
          <w:lang w:eastAsia="zh-CN"/>
        </w:rPr>
        <w:t>补偿</w:t>
      </w:r>
      <w:r>
        <w:rPr>
          <w:rFonts w:hint="eastAsia" w:ascii="仿宋" w:hAnsi="仿宋" w:eastAsia="仿宋" w:cs="仿宋"/>
          <w:color w:val="auto"/>
          <w:spacing w:val="0"/>
          <w:sz w:val="32"/>
          <w:szCs w:val="32"/>
          <w:highlight w:val="none"/>
        </w:rPr>
        <w:t>价格赔偿。</w:t>
      </w:r>
    </w:p>
    <w:p w14:paraId="519A6D39">
      <w:pPr>
        <w:keepNext/>
        <w:keepLines w:val="0"/>
        <w:pageBreakBefore w:val="0"/>
        <w:widowControl/>
        <w:kinsoku/>
        <w:wordWrap/>
        <w:overflowPunct/>
        <w:topLinePunct w:val="0"/>
        <w:autoSpaceDE w:val="0"/>
        <w:autoSpaceDN w:val="0"/>
        <w:bidi w:val="0"/>
        <w:adjustRightInd w:val="0"/>
        <w:snapToGrid w:val="0"/>
        <w:spacing w:line="572" w:lineRule="atLeast"/>
        <w:ind w:firstLine="640"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lang w:val="en-US" w:eastAsia="zh-CN"/>
        </w:rPr>
        <w:t>七</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rPr>
        <w:t>征收过程中肆意滋事、无理取闹，妨碍执行公务的单位和个人，由公安机关依法处理。构成违反治安管理行为的，依法给予治安管理处罚。构成犯罪的，依法追究刑事责任。</w:t>
      </w:r>
    </w:p>
    <w:p w14:paraId="0DC858EC">
      <w:pPr>
        <w:keepNext/>
        <w:keepLines w:val="0"/>
        <w:pageBreakBefore w:val="0"/>
        <w:widowControl/>
        <w:kinsoku/>
        <w:wordWrap/>
        <w:overflowPunct/>
        <w:topLinePunct w:val="0"/>
        <w:autoSpaceDE w:val="0"/>
        <w:autoSpaceDN w:val="0"/>
        <w:bidi w:val="0"/>
        <w:adjustRightInd w:val="0"/>
        <w:snapToGrid w:val="0"/>
        <w:spacing w:line="572" w:lineRule="atLeast"/>
        <w:ind w:firstLine="640"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lang w:val="en-US" w:eastAsia="zh-CN"/>
        </w:rPr>
        <w:t>八</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rPr>
        <w:t>对被征收人的补偿以土地证为计户依据，按</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rPr>
        <w:t>一证一户</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rPr>
        <w:t>的原则进行补偿。</w:t>
      </w:r>
    </w:p>
    <w:p w14:paraId="27D09E26">
      <w:pPr>
        <w:keepNext/>
        <w:keepLines w:val="0"/>
        <w:pageBreakBefore w:val="0"/>
        <w:widowControl/>
        <w:kinsoku/>
        <w:wordWrap/>
        <w:overflowPunct/>
        <w:topLinePunct w:val="0"/>
        <w:autoSpaceDE w:val="0"/>
        <w:autoSpaceDN w:val="0"/>
        <w:bidi w:val="0"/>
        <w:adjustRightInd w:val="0"/>
        <w:snapToGrid w:val="0"/>
        <w:spacing w:line="572" w:lineRule="atLeast"/>
        <w:ind w:firstLine="640"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lang w:val="en-US" w:eastAsia="zh-CN"/>
        </w:rPr>
        <w:t>九</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rPr>
        <w:t>本方案仅适用于</w:t>
      </w:r>
      <w:r>
        <w:rPr>
          <w:rFonts w:hint="eastAsia" w:ascii="仿宋" w:hAnsi="仿宋" w:eastAsia="仿宋" w:cs="仿宋"/>
          <w:color w:val="auto"/>
          <w:spacing w:val="0"/>
          <w:sz w:val="32"/>
          <w:szCs w:val="32"/>
          <w:highlight w:val="none"/>
          <w:lang w:val="en-US" w:eastAsia="zh-CN"/>
        </w:rPr>
        <w:t>本项目国有</w:t>
      </w:r>
      <w:r>
        <w:rPr>
          <w:rFonts w:hint="eastAsia" w:ascii="仿宋" w:hAnsi="仿宋" w:eastAsia="仿宋" w:cs="仿宋"/>
          <w:color w:val="auto"/>
          <w:spacing w:val="0"/>
          <w:sz w:val="32"/>
          <w:szCs w:val="32"/>
          <w:highlight w:val="none"/>
        </w:rPr>
        <w:t>土地征收补偿安置，不适用于乡村整治、基础设施、工业园区、项目建设、煤矿棚户区改造、沉陷区治理、危房改造等其他项目。</w:t>
      </w:r>
    </w:p>
    <w:p w14:paraId="28E9071E">
      <w:pPr>
        <w:keepNext/>
        <w:keepLines w:val="0"/>
        <w:pageBreakBefore w:val="0"/>
        <w:widowControl/>
        <w:kinsoku/>
        <w:wordWrap/>
        <w:overflowPunct/>
        <w:topLinePunct w:val="0"/>
        <w:autoSpaceDE w:val="0"/>
        <w:autoSpaceDN w:val="0"/>
        <w:bidi w:val="0"/>
        <w:adjustRightInd w:val="0"/>
        <w:snapToGrid w:val="0"/>
        <w:spacing w:line="572" w:lineRule="atLeast"/>
        <w:ind w:firstLine="640" w:firstLineChars="200"/>
        <w:jc w:val="both"/>
        <w:textAlignment w:val="baseline"/>
        <w:rPr>
          <w:rFonts w:hint="eastAsia" w:ascii="仿宋" w:hAnsi="仿宋" w:eastAsia="仿宋" w:cs="仿宋"/>
          <w:color w:val="auto"/>
          <w:spacing w:val="0"/>
          <w:sz w:val="32"/>
          <w:szCs w:val="32"/>
          <w:highlight w:val="none"/>
          <w:lang w:val="en-US" w:eastAsia="zh-CN"/>
        </w:rPr>
      </w:pP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lang w:val="en-US" w:eastAsia="zh-CN"/>
        </w:rPr>
        <w:t>十</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rPr>
        <w:t>本方案未尽事宜，依照</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lang w:val="en-US" w:eastAsia="zh-CN"/>
        </w:rPr>
        <w:t>国有土地上房屋征收与补偿条例</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lang w:val="en-US" w:eastAsia="zh-CN"/>
        </w:rPr>
        <w:t>内蒙古自治区国有土地上房屋征收与补偿条例</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lang w:val="en-US" w:eastAsia="zh-CN"/>
        </w:rPr>
        <w:t>及有关规定执行。</w:t>
      </w:r>
    </w:p>
    <w:p w14:paraId="7B01C77D">
      <w:pPr>
        <w:keepNext/>
        <w:keepLines w:val="0"/>
        <w:pageBreakBefore w:val="0"/>
        <w:widowControl/>
        <w:kinsoku/>
        <w:wordWrap/>
        <w:overflowPunct/>
        <w:topLinePunct w:val="0"/>
        <w:autoSpaceDE w:val="0"/>
        <w:autoSpaceDN w:val="0"/>
        <w:bidi w:val="0"/>
        <w:adjustRightInd w:val="0"/>
        <w:snapToGrid w:val="0"/>
        <w:spacing w:line="572" w:lineRule="atLeast"/>
        <w:ind w:firstLine="640" w:firstLineChars="200"/>
        <w:jc w:val="both"/>
        <w:textAlignment w:val="baseline"/>
        <w:rPr>
          <w:rFonts w:hint="eastAsia" w:ascii="仿宋" w:hAnsi="仿宋" w:eastAsia="仿宋" w:cs="仿宋"/>
          <w:color w:val="auto"/>
          <w:spacing w:val="0"/>
          <w:sz w:val="32"/>
          <w:szCs w:val="32"/>
          <w:highlight w:val="none"/>
        </w:rPr>
      </w:pP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lang w:val="en-US" w:eastAsia="zh-CN"/>
        </w:rPr>
        <w:t>十一</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rPr>
        <w:t>征收过程中遇到本方案未包含情况的，由元宝山区人民政府依据相关法律法规另行公布补充方案，与本方案具有同等法律效力。</w:t>
      </w:r>
    </w:p>
    <w:p w14:paraId="342EA444">
      <w:pPr>
        <w:pStyle w:val="2"/>
        <w:keepNext/>
        <w:keepLines w:val="0"/>
        <w:pageBreakBefore w:val="0"/>
        <w:widowControl/>
        <w:kinsoku/>
        <w:wordWrap/>
        <w:overflowPunct/>
        <w:topLinePunct w:val="0"/>
        <w:autoSpaceDE w:val="0"/>
        <w:autoSpaceDN w:val="0"/>
        <w:bidi w:val="0"/>
        <w:adjustRightInd w:val="0"/>
        <w:snapToGrid w:val="0"/>
        <w:spacing w:line="572" w:lineRule="atLeast"/>
        <w:ind w:firstLine="640" w:firstLineChars="200"/>
        <w:jc w:val="both"/>
        <w:textAlignment w:val="baseline"/>
        <w:rPr>
          <w:rFonts w:hint="eastAsia" w:ascii="仿宋" w:hAnsi="仿宋" w:eastAsia="仿宋" w:cs="仿宋"/>
          <w:spacing w:val="0"/>
          <w:sz w:val="32"/>
          <w:szCs w:val="32"/>
        </w:rPr>
      </w:pP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lang w:val="en-US" w:eastAsia="zh-CN"/>
        </w:rPr>
        <w:t>十二</w:t>
      </w:r>
      <w:r>
        <w:rPr>
          <w:rFonts w:hint="eastAsia" w:ascii="仿宋" w:hAnsi="仿宋" w:eastAsia="仿宋" w:cs="仿宋"/>
          <w:color w:val="auto"/>
          <w:spacing w:val="0"/>
          <w:sz w:val="32"/>
          <w:szCs w:val="32"/>
          <w:highlight w:val="none"/>
          <w:lang w:eastAsia="zh-CN"/>
        </w:rPr>
        <w:t>）</w:t>
      </w:r>
      <w:r>
        <w:rPr>
          <w:rFonts w:hint="eastAsia" w:ascii="仿宋" w:hAnsi="仿宋" w:eastAsia="仿宋" w:cs="仿宋"/>
          <w:color w:val="auto"/>
          <w:spacing w:val="0"/>
          <w:sz w:val="32"/>
          <w:szCs w:val="32"/>
          <w:highlight w:val="none"/>
        </w:rPr>
        <w:t>本方案由</w:t>
      </w:r>
      <w:r>
        <w:rPr>
          <w:rFonts w:hint="eastAsia" w:ascii="仿宋" w:hAnsi="仿宋" w:eastAsia="仿宋" w:cs="仿宋"/>
          <w:color w:val="auto"/>
          <w:spacing w:val="0"/>
          <w:sz w:val="32"/>
          <w:szCs w:val="32"/>
          <w:highlight w:val="none"/>
          <w:lang w:eastAsia="zh-CN"/>
        </w:rPr>
        <w:t>赤峰市</w:t>
      </w:r>
      <w:r>
        <w:rPr>
          <w:rFonts w:hint="eastAsia" w:ascii="仿宋" w:hAnsi="仿宋" w:eastAsia="仿宋" w:cs="仿宋"/>
          <w:color w:val="auto"/>
          <w:spacing w:val="0"/>
          <w:sz w:val="32"/>
          <w:szCs w:val="32"/>
          <w:highlight w:val="none"/>
          <w:lang w:val="en-US" w:eastAsia="zh-CN"/>
        </w:rPr>
        <w:t>元宝山住房保障服务中心</w:t>
      </w:r>
      <w:r>
        <w:rPr>
          <w:rFonts w:hint="eastAsia" w:ascii="仿宋" w:hAnsi="仿宋" w:eastAsia="仿宋" w:cs="仿宋"/>
          <w:color w:val="auto"/>
          <w:spacing w:val="0"/>
          <w:sz w:val="32"/>
          <w:szCs w:val="32"/>
          <w:highlight w:val="none"/>
        </w:rPr>
        <w:t>负责解释</w:t>
      </w:r>
      <w:r>
        <w:rPr>
          <w:rFonts w:hint="eastAsia" w:ascii="仿宋" w:hAnsi="仿宋" w:eastAsia="仿宋" w:cs="仿宋"/>
          <w:color w:val="auto"/>
          <w:spacing w:val="0"/>
          <w:sz w:val="32"/>
          <w:szCs w:val="32"/>
          <w:highlight w:val="none"/>
          <w:lang w:eastAsia="zh-CN"/>
        </w:rPr>
        <w:t>。</w:t>
      </w:r>
    </w:p>
    <w:p w14:paraId="6CB1F791">
      <w:pPr>
        <w:pStyle w:val="2"/>
        <w:keepNext/>
        <w:keepLines w:val="0"/>
        <w:pageBreakBefore w:val="0"/>
        <w:widowControl/>
        <w:kinsoku w:val="0"/>
        <w:wordWrap/>
        <w:overflowPunct/>
        <w:topLinePunct w:val="0"/>
        <w:autoSpaceDE w:val="0"/>
        <w:autoSpaceDN w:val="0"/>
        <w:bidi w:val="0"/>
        <w:adjustRightInd w:val="0"/>
        <w:snapToGrid w:val="0"/>
        <w:spacing w:line="241" w:lineRule="auto"/>
        <w:textAlignment w:val="baseline"/>
        <w:rPr>
          <w:rFonts w:hint="eastAsia" w:ascii="仿宋" w:hAnsi="仿宋" w:eastAsia="仿宋" w:cs="仿宋"/>
          <w:sz w:val="32"/>
          <w:szCs w:val="32"/>
        </w:rPr>
      </w:pPr>
    </w:p>
    <w:p w14:paraId="11AA9667">
      <w:pPr>
        <w:pStyle w:val="2"/>
        <w:keepNext/>
        <w:keepLines w:val="0"/>
        <w:pageBreakBefore w:val="0"/>
        <w:widowControl/>
        <w:kinsoku w:val="0"/>
        <w:wordWrap/>
        <w:overflowPunct/>
        <w:topLinePunct w:val="0"/>
        <w:autoSpaceDE w:val="0"/>
        <w:autoSpaceDN w:val="0"/>
        <w:bidi w:val="0"/>
        <w:adjustRightInd w:val="0"/>
        <w:snapToGrid w:val="0"/>
        <w:spacing w:line="241" w:lineRule="auto"/>
        <w:textAlignment w:val="baseline"/>
        <w:rPr>
          <w:rFonts w:hint="eastAsia" w:ascii="仿宋" w:hAnsi="仿宋" w:eastAsia="仿宋" w:cs="仿宋"/>
          <w:sz w:val="32"/>
          <w:szCs w:val="32"/>
        </w:rPr>
      </w:pPr>
    </w:p>
    <w:p w14:paraId="3E0603D3">
      <w:pPr>
        <w:keepNext/>
        <w:keepLines w:val="0"/>
        <w:pageBreakBefore w:val="0"/>
        <w:widowControl/>
        <w:kinsoku w:val="0"/>
        <w:wordWrap/>
        <w:overflowPunct/>
        <w:topLinePunct w:val="0"/>
        <w:autoSpaceDE w:val="0"/>
        <w:autoSpaceDN w:val="0"/>
        <w:bidi w:val="0"/>
        <w:adjustRightInd w:val="0"/>
        <w:snapToGrid w:val="0"/>
        <w:textAlignment w:val="baseline"/>
        <w:rPr>
          <w:rFonts w:hint="eastAsia" w:ascii="仿宋" w:hAnsi="仿宋" w:eastAsia="仿宋" w:cs="仿宋"/>
          <w:sz w:val="32"/>
          <w:szCs w:val="32"/>
        </w:rPr>
      </w:pPr>
    </w:p>
    <w:sectPr>
      <w:footerReference r:id="rId5" w:type="default"/>
      <w:pgSz w:w="11850" w:h="16783"/>
      <w:pgMar w:top="1440" w:right="1800" w:bottom="1440" w:left="1800" w:header="0" w:footer="0"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CE0D8">
    <w:pPr>
      <w:pStyle w:val="2"/>
      <w:spacing w:line="14" w:lineRule="auto"/>
      <w:rPr>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FFB9A4">
                          <w:pPr>
                            <w:pStyle w:val="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BFFB9A4">
                    <w:pPr>
                      <w:pStyle w:val="3"/>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3</w:t>
                    </w:r>
                    <w:r>
                      <w:rPr>
                        <w:rFonts w:hint="eastAsia" w:eastAsia="宋体"/>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7A6324"/>
    <w:rsid w:val="217D291B"/>
    <w:rsid w:val="37F93146"/>
    <w:rsid w:val="47D27980"/>
    <w:rsid w:val="4C7A6324"/>
    <w:rsid w:val="577B05D6"/>
    <w:rsid w:val="5AFD6C90"/>
    <w:rsid w:val="67D75304"/>
    <w:rsid w:val="6C4F6424"/>
    <w:rsid w:val="716B271D"/>
    <w:rsid w:val="73630B8C"/>
    <w:rsid w:val="74E11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5951</Words>
  <Characters>6062</Characters>
  <Lines>0</Lines>
  <Paragraphs>0</Paragraphs>
  <TotalTime>15</TotalTime>
  <ScaleCrop>false</ScaleCrop>
  <LinksUpToDate>false</LinksUpToDate>
  <CharactersWithSpaces>7351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2026-09-17T07:56:00Z</dcterms:created>
  <dc:creator>Administrator</dc:creator>
  <cp:lastModifiedBy>卷 卷</cp:lastModifiedBy>
  <cp:lastPrinted>2026-09-18T02:25:00Z</cp:lastPrinted>
  <dcterms:modified xsi:type="dcterms:W3CDTF">2026-09-30T01:55:19Z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5443260106F740B0B3787A2099EEECA9_13</vt:lpwstr>
  </property>
  <property fmtid="{D5CDD505-2E9C-101B-9397-08002B2CF9AE}" pid="4" name="KSOTemplateDocerSaveRecord">
    <vt:lpwstr>eyJoZGlkIjoiMjBhNjcxNzdiZjNhNWIyOGZkZDIxYjU3NjIwMTlmMjEiLCJ1c2VySWQiOiIxMjkzMjM2NDc5In0=</vt:lpwstr>
  </property>
</Properties>
</file>